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A" w:rsidRDefault="00B315D8" w:rsidP="00B315D8">
      <w:pPr>
        <w:pStyle w:val="10"/>
      </w:pPr>
      <w:r>
        <w:t>Θα συνεχιστεί η κύλιση;</w:t>
      </w:r>
    </w:p>
    <w:tbl>
      <w:tblPr>
        <w:tblpPr w:leftFromText="180" w:rightFromText="180" w:vertAnchor="text" w:tblpXSpec="right" w:tblpY="5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7"/>
      </w:tblGrid>
      <w:tr w:rsidR="007E3522" w:rsidTr="007E3522">
        <w:trPr>
          <w:trHeight w:val="1909"/>
          <w:jc w:val="right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E3522" w:rsidRDefault="007E3522" w:rsidP="007E3522">
            <w:pPr>
              <w:rPr>
                <w:lang w:eastAsia="el-GR"/>
              </w:rPr>
            </w:pPr>
            <w:r>
              <w:object w:dxaOrig="1992" w:dyaOrig="2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55pt;height:145.4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18984065" r:id="rId8"/>
              </w:object>
            </w:r>
          </w:p>
        </w:tc>
      </w:tr>
    </w:tbl>
    <w:p w:rsidR="00B315D8" w:rsidRDefault="00B315D8" w:rsidP="00B315D8">
      <w:pPr>
        <w:rPr>
          <w:lang w:eastAsia="el-GR"/>
        </w:rPr>
      </w:pPr>
      <w:r>
        <w:rPr>
          <w:lang w:eastAsia="el-GR"/>
        </w:rPr>
        <w:t>Ένας λεπτός κυλινδρικός φλοιός</w:t>
      </w:r>
      <w:r w:rsidR="006D7284">
        <w:rPr>
          <w:lang w:eastAsia="el-GR"/>
        </w:rPr>
        <w:t xml:space="preserve"> ακτίνας R</w:t>
      </w:r>
      <w:r>
        <w:rPr>
          <w:lang w:eastAsia="el-GR"/>
        </w:rPr>
        <w:t>, φέρει σχισμή βάθους y, εντός της οποίας έχουμε τυλίξει ένα αβαρές νήμα και ηρεμεί σε λείο οριζόντιο επίπεδο. Σε μια στιγμή τραβάμε το άκρο Α του νήματος, ασκώντας του οριζόντια δύναμη F, όπως στο σχ</w:t>
      </w:r>
      <w:r w:rsidR="006D7284">
        <w:rPr>
          <w:lang w:eastAsia="el-GR"/>
        </w:rPr>
        <w:t>ήμα, με αποτέλεσμα ο κύλινδρος να κυλίεται.</w:t>
      </w:r>
    </w:p>
    <w:p w:rsidR="006D7284" w:rsidRDefault="006D7284" w:rsidP="0019310D">
      <w:pPr>
        <w:ind w:left="454" w:hanging="284"/>
        <w:rPr>
          <w:lang w:eastAsia="el-GR"/>
        </w:rPr>
      </w:pPr>
      <w:r>
        <w:rPr>
          <w:lang w:eastAsia="el-GR"/>
        </w:rPr>
        <w:t>i) Το βάθος της σχισμής είναι ίσο με:</w:t>
      </w:r>
    </w:p>
    <w:p w:rsidR="006D7284" w:rsidRDefault="006D7284" w:rsidP="0019310D">
      <w:pPr>
        <w:ind w:left="454" w:hanging="284"/>
        <w:jc w:val="center"/>
        <w:rPr>
          <w:lang w:eastAsia="el-GR"/>
        </w:rPr>
      </w:pPr>
      <w:r>
        <w:rPr>
          <w:lang w:eastAsia="el-GR"/>
        </w:rPr>
        <w:t xml:space="preserve">α) </w:t>
      </w:r>
      <w:r w:rsidR="003D547E" w:rsidRPr="003D547E">
        <w:rPr>
          <w:position w:val="-24"/>
          <w:lang w:eastAsia="el-GR"/>
        </w:rPr>
        <w:object w:dxaOrig="800" w:dyaOrig="620">
          <v:shape id="_x0000_i1026" type="#_x0000_t75" style="width:39.95pt;height:31pt" o:ole="">
            <v:imagedata r:id="rId9" o:title=""/>
          </v:shape>
          <o:OLEObject Type="Embed" ProgID="Equation.3" ShapeID="_x0000_i1026" DrawAspect="Content" ObjectID="_1518984066" r:id="rId10"/>
        </w:object>
      </w:r>
      <w:r>
        <w:rPr>
          <w:lang w:eastAsia="el-GR"/>
        </w:rPr>
        <w:t xml:space="preserve">,   β) </w:t>
      </w:r>
      <w:r w:rsidR="003D547E" w:rsidRPr="003D547E">
        <w:rPr>
          <w:position w:val="-24"/>
          <w:lang w:eastAsia="el-GR"/>
        </w:rPr>
        <w:object w:dxaOrig="800" w:dyaOrig="620">
          <v:shape id="_x0000_i1027" type="#_x0000_t75" style="width:39.95pt;height:31pt" o:ole="">
            <v:imagedata r:id="rId11" o:title=""/>
          </v:shape>
          <o:OLEObject Type="Embed" ProgID="Equation.3" ShapeID="_x0000_i1027" DrawAspect="Content" ObjectID="_1518984067" r:id="rId12"/>
        </w:object>
      </w:r>
      <w:r>
        <w:rPr>
          <w:lang w:eastAsia="el-GR"/>
        </w:rPr>
        <w:t xml:space="preserve">,   γ)  </w:t>
      </w:r>
      <w:r w:rsidR="003D547E" w:rsidRPr="003D547E">
        <w:rPr>
          <w:position w:val="-24"/>
          <w:lang w:eastAsia="el-GR"/>
        </w:rPr>
        <w:object w:dxaOrig="800" w:dyaOrig="620">
          <v:shape id="_x0000_i1028" type="#_x0000_t75" style="width:39.95pt;height:31pt" o:ole="">
            <v:imagedata r:id="rId13" o:title=""/>
          </v:shape>
          <o:OLEObject Type="Embed" ProgID="Equation.3" ShapeID="_x0000_i1028" DrawAspect="Content" ObjectID="_1518984068" r:id="rId14"/>
        </w:object>
      </w:r>
    </w:p>
    <w:p w:rsidR="006D7284" w:rsidRDefault="006D7284" w:rsidP="0019310D">
      <w:pPr>
        <w:ind w:left="454" w:hanging="284"/>
        <w:rPr>
          <w:lang w:eastAsia="el-GR"/>
        </w:rPr>
      </w:pPr>
      <w:r>
        <w:rPr>
          <w:lang w:eastAsia="el-GR"/>
        </w:rPr>
        <w:t xml:space="preserve">ii) </w:t>
      </w:r>
      <w:r w:rsidR="00E57CA1">
        <w:rPr>
          <w:lang w:eastAsia="el-GR"/>
        </w:rPr>
        <w:t>Χωρίς να μεταβάλουμε το μέτρο της ασκούμενης δύναμης, μ</w:t>
      </w:r>
      <w:r w:rsidR="00E57CA1">
        <w:rPr>
          <w:lang w:eastAsia="el-GR"/>
        </w:rPr>
        <w:t>ε</w:t>
      </w:r>
      <w:r w:rsidR="00E57CA1">
        <w:rPr>
          <w:lang w:eastAsia="el-GR"/>
        </w:rPr>
        <w:t>ταβάλουμε τη διεύθυνση του νήματος, έτσι ώστε να σχηματίζει γωνία θ με την αρχική διεύθυνση:</w:t>
      </w:r>
    </w:p>
    <w:p w:rsidR="00E57CA1" w:rsidRDefault="00E57CA1" w:rsidP="0019310D">
      <w:pPr>
        <w:ind w:left="681" w:hanging="284"/>
        <w:rPr>
          <w:lang w:eastAsia="el-GR"/>
        </w:rPr>
      </w:pPr>
      <w:r>
        <w:rPr>
          <w:lang w:eastAsia="el-GR"/>
        </w:rPr>
        <w:t>α) Ο κύλινδρος θα συνεχίσει να κυλίεται.</w:t>
      </w:r>
    </w:p>
    <w:p w:rsidR="00E57CA1" w:rsidRDefault="005E23C7" w:rsidP="0019310D">
      <w:pPr>
        <w:ind w:left="681" w:hanging="284"/>
        <w:rPr>
          <w:lang w:eastAsia="el-GR"/>
        </w:rPr>
      </w:pPr>
      <w:r>
        <w:rPr>
          <w:lang w:eastAsia="el-GR"/>
        </w:rPr>
        <w:t>β</w:t>
      </w:r>
      <w:r w:rsidR="00E57CA1">
        <w:rPr>
          <w:lang w:eastAsia="el-GR"/>
        </w:rPr>
        <w:t>) Ο κύλινδρος θα πάψει να κυλίεται και θα ολισθήσει.</w:t>
      </w:r>
    </w:p>
    <w:p w:rsidR="00E57CA1" w:rsidRDefault="005E23C7" w:rsidP="0019310D">
      <w:pPr>
        <w:ind w:left="681" w:hanging="284"/>
        <w:rPr>
          <w:lang w:eastAsia="el-GR"/>
        </w:rPr>
      </w:pPr>
      <w:r>
        <w:rPr>
          <w:lang w:eastAsia="el-GR"/>
        </w:rPr>
        <w:t>γ</w:t>
      </w:r>
      <w:r w:rsidR="00E57CA1">
        <w:rPr>
          <w:lang w:eastAsia="el-GR"/>
        </w:rPr>
        <w:t>) Ο κύλινδρος θα σπινάρει.</w:t>
      </w:r>
    </w:p>
    <w:p w:rsidR="00E57CA1" w:rsidRDefault="00E57CA1" w:rsidP="00B315D8">
      <w:pPr>
        <w:rPr>
          <w:lang w:eastAsia="el-GR"/>
        </w:rPr>
      </w:pPr>
      <w:r>
        <w:rPr>
          <w:lang w:eastAsia="el-GR"/>
        </w:rPr>
        <w:t>Να δικαιολογήσετε τις απαντήσεις σας.</w:t>
      </w:r>
    </w:p>
    <w:p w:rsidR="00B315D8" w:rsidRDefault="00E57CA1" w:rsidP="00B315D8">
      <w:pPr>
        <w:rPr>
          <w:lang w:eastAsia="el-GR"/>
        </w:rPr>
      </w:pPr>
      <w:r>
        <w:rPr>
          <w:lang w:eastAsia="el-GR"/>
        </w:rPr>
        <w:t>Δίνεται η ροπή αδράνειας του κυλίνδρου Ι= ½ ΜR</w:t>
      </w:r>
      <w:r>
        <w:rPr>
          <w:vertAlign w:val="superscript"/>
          <w:lang w:eastAsia="el-GR"/>
        </w:rPr>
        <w:t>2</w:t>
      </w:r>
      <w:r>
        <w:rPr>
          <w:lang w:eastAsia="el-GR"/>
        </w:rPr>
        <w:t>.</w:t>
      </w:r>
    </w:p>
    <w:p w:rsidR="00E57CA1" w:rsidRPr="0019310D" w:rsidRDefault="00E57CA1" w:rsidP="0019310D">
      <w:pPr>
        <w:spacing w:before="120" w:after="120"/>
        <w:rPr>
          <w:b/>
          <w:i/>
          <w:color w:val="0070C0"/>
          <w:sz w:val="24"/>
          <w:szCs w:val="24"/>
          <w:lang w:eastAsia="el-GR"/>
        </w:rPr>
      </w:pPr>
      <w:r w:rsidRPr="0019310D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6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7"/>
      </w:tblGrid>
      <w:tr w:rsidR="006853C8" w:rsidTr="006853C8">
        <w:trPr>
          <w:trHeight w:val="820"/>
          <w:jc w:val="right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6853C8" w:rsidRDefault="009B422F" w:rsidP="006853C8">
            <w:pPr>
              <w:pStyle w:val="1"/>
              <w:numPr>
                <w:ilvl w:val="0"/>
                <w:numId w:val="0"/>
              </w:numPr>
            </w:pPr>
            <w:r>
              <w:object w:dxaOrig="1992" w:dyaOrig="1866">
                <v:shape id="_x0000_i1029" type="#_x0000_t75" style="width:99.55pt;height:93.35pt" o:ole="" filled="t" fillcolor="#8db3e2 [1311]">
                  <v:fill color2="fill lighten(51)" focusposition=".5,.5" focussize="" method="linear sigma" focus="100%" type="gradientRadial"/>
                  <v:imagedata r:id="rId15" o:title=""/>
                </v:shape>
                <o:OLEObject Type="Embed" ProgID="Visio.Drawing.11" ShapeID="_x0000_i1029" DrawAspect="Content" ObjectID="_1518984069" r:id="rId16"/>
              </w:object>
            </w:r>
          </w:p>
        </w:tc>
      </w:tr>
    </w:tbl>
    <w:p w:rsidR="00E57CA1" w:rsidRDefault="007E3522" w:rsidP="007E3522">
      <w:pPr>
        <w:pStyle w:val="1"/>
      </w:pPr>
      <w:r>
        <w:t>Στο διπλανό σχήμα έχουν σχεδιαστεί οι δυνάμεις που ασκούνται στον κυλινδρικό φλοιό, όπ</w:t>
      </w:r>
      <w:r w:rsidR="006853C8">
        <w:t>ου</w:t>
      </w:r>
      <w:r>
        <w:t xml:space="preserve"> η ασκούμενη δύναμη F, μεταφέρ</w:t>
      </w:r>
      <w:r>
        <w:t>ε</w:t>
      </w:r>
      <w:r>
        <w:t>ται στον κύλινδρο</w:t>
      </w:r>
      <w:r w:rsidR="006853C8">
        <w:t xml:space="preserve"> σε απόσταση r από τον άξονά του, όπου </w:t>
      </w:r>
      <w:proofErr w:type="spellStart"/>
      <w:r w:rsidR="006853C8">
        <w:t>y=R</w:t>
      </w:r>
      <w:proofErr w:type="spellEnd"/>
      <w:r w:rsidR="006853C8">
        <w:t>-r.</w:t>
      </w:r>
    </w:p>
    <w:p w:rsidR="006853C8" w:rsidRDefault="006853C8" w:rsidP="009B422F">
      <w:pPr>
        <w:ind w:left="340"/>
      </w:pPr>
      <w:r>
        <w:t>Θεωρούμε την κύλιση του κυλινδρικού φλοιού ως σύνθετη, μια μεταφορική και μια περιστροφική γύρω από τον άξονα περιστρ</w:t>
      </w:r>
      <w:r>
        <w:t>ο</w:t>
      </w:r>
      <w:r>
        <w:t>φής στο Ο. Με θετική την προς τα δεξιά κατεύθυνση θετική, κ</w:t>
      </w:r>
      <w:r>
        <w:t>α</w:t>
      </w:r>
      <w:r>
        <w:t xml:space="preserve">θώς και </w:t>
      </w:r>
      <w:r w:rsidR="009B422F">
        <w:t>τις δεξιόστροφες ροπές θετικές</w:t>
      </w:r>
      <w:r w:rsidR="009B422F" w:rsidRPr="009B422F">
        <w:t xml:space="preserve">, </w:t>
      </w:r>
      <w:r w:rsidR="009B422F">
        <w:t xml:space="preserve">εφαρμόζουμε το </w:t>
      </w:r>
      <w:r>
        <w:t>2</w:t>
      </w:r>
      <w:r w:rsidRPr="006853C8">
        <w:rPr>
          <w:vertAlign w:val="superscript"/>
        </w:rPr>
        <w:t>ου</w:t>
      </w:r>
      <w:r>
        <w:t xml:space="preserve"> νό</w:t>
      </w:r>
      <w:r w:rsidR="009B422F">
        <w:t>μο</w:t>
      </w:r>
      <w:r>
        <w:t xml:space="preserve"> του Νεύτωνα</w:t>
      </w:r>
      <w:r w:rsidR="009B422F">
        <w:t xml:space="preserve"> για κάθε κίνηση χωριστά παίρνοντας</w:t>
      </w:r>
      <w:r>
        <w:t>:</w:t>
      </w:r>
    </w:p>
    <w:p w:rsidR="006853C8" w:rsidRPr="006853C8" w:rsidRDefault="006853C8" w:rsidP="009B422F">
      <w:pPr>
        <w:ind w:left="340"/>
      </w:pPr>
      <w:r w:rsidRPr="00E0302D">
        <w:rPr>
          <w:b/>
        </w:rPr>
        <w:t>Μεταφορική</w:t>
      </w:r>
      <w:r>
        <w:t xml:space="preserve">:  </w:t>
      </w:r>
      <w:r w:rsidRPr="006853C8">
        <w:rPr>
          <w:position w:val="-12"/>
        </w:rPr>
        <w:object w:dxaOrig="2380" w:dyaOrig="400">
          <v:shape id="_x0000_i1030" type="#_x0000_t75" style="width:118.85pt;height:20pt" o:ole="">
            <v:imagedata r:id="rId17" o:title=""/>
          </v:shape>
          <o:OLEObject Type="Embed" ProgID="Equation.3" ShapeID="_x0000_i1030" DrawAspect="Content" ObjectID="_1518984070" r:id="rId18"/>
        </w:object>
      </w:r>
      <w:r w:rsidRPr="006853C8">
        <w:t xml:space="preserve">  (1)</w:t>
      </w:r>
    </w:p>
    <w:p w:rsidR="006853C8" w:rsidRDefault="006853C8" w:rsidP="009B422F">
      <w:pPr>
        <w:ind w:left="340"/>
      </w:pPr>
      <w:r w:rsidRPr="00E0302D">
        <w:rPr>
          <w:b/>
        </w:rPr>
        <w:t>Στροφική</w:t>
      </w:r>
      <w:r>
        <w:t xml:space="preserve">:  </w:t>
      </w:r>
      <w:r w:rsidR="009B422F" w:rsidRPr="009B422F">
        <w:t xml:space="preserve">     </w:t>
      </w:r>
      <w:r w:rsidR="00E0302D">
        <w:t xml:space="preserve"> </w:t>
      </w:r>
      <w:proofErr w:type="spellStart"/>
      <w:r w:rsidRPr="009B422F">
        <w:rPr>
          <w:i/>
          <w:sz w:val="24"/>
          <w:szCs w:val="24"/>
        </w:rPr>
        <w:t>Στ</w:t>
      </w:r>
      <w:r w:rsidRPr="009B422F">
        <w:rPr>
          <w:i/>
          <w:sz w:val="24"/>
          <w:szCs w:val="24"/>
          <w:vertAlign w:val="subscript"/>
        </w:rPr>
        <w:t>ο</w:t>
      </w:r>
      <w:r w:rsidRPr="009B422F">
        <w:rPr>
          <w:i/>
          <w:sz w:val="24"/>
          <w:szCs w:val="24"/>
        </w:rPr>
        <w:t>=Ι</w:t>
      </w:r>
      <w:r w:rsidRPr="009B422F">
        <w:rPr>
          <w:i/>
          <w:sz w:val="24"/>
          <w:szCs w:val="24"/>
          <w:vertAlign w:val="subscript"/>
        </w:rPr>
        <w:t>cm</w:t>
      </w:r>
      <w:r w:rsidRPr="009B422F">
        <w:rPr>
          <w:i/>
          <w:sz w:val="24"/>
          <w:szCs w:val="24"/>
        </w:rPr>
        <w:t>∙α</w:t>
      </w:r>
      <w:r w:rsidRPr="009B422F">
        <w:rPr>
          <w:i/>
          <w:sz w:val="24"/>
          <w:szCs w:val="24"/>
          <w:vertAlign w:val="subscript"/>
        </w:rPr>
        <w:t>γων</w:t>
      </w:r>
      <w:proofErr w:type="spellEnd"/>
      <w:r w:rsidRPr="009B422F">
        <w:rPr>
          <w:i/>
          <w:sz w:val="24"/>
          <w:szCs w:val="24"/>
        </w:rPr>
        <w:t xml:space="preserve"> </w:t>
      </w:r>
      <w:r>
        <w:t>→</w:t>
      </w:r>
      <w:r w:rsidR="009B422F">
        <w:t xml:space="preserve"> </w:t>
      </w:r>
      <w:proofErr w:type="spellStart"/>
      <w:r w:rsidR="009B422F" w:rsidRPr="00411155">
        <w:rPr>
          <w:i/>
          <w:sz w:val="24"/>
          <w:szCs w:val="24"/>
        </w:rPr>
        <w:t>F∙r</w:t>
      </w:r>
      <w:proofErr w:type="spellEnd"/>
      <w:r w:rsidR="009B422F" w:rsidRPr="00411155">
        <w:rPr>
          <w:i/>
          <w:sz w:val="24"/>
          <w:szCs w:val="24"/>
        </w:rPr>
        <w:t xml:space="preserve"> = ½ ΜR</w:t>
      </w:r>
      <w:r w:rsidR="009B422F" w:rsidRPr="00411155">
        <w:rPr>
          <w:i/>
          <w:sz w:val="24"/>
          <w:szCs w:val="24"/>
          <w:vertAlign w:val="superscript"/>
        </w:rPr>
        <w:t>2</w:t>
      </w:r>
      <w:r w:rsidR="009B422F" w:rsidRPr="00411155">
        <w:rPr>
          <w:i/>
          <w:sz w:val="24"/>
          <w:szCs w:val="24"/>
        </w:rPr>
        <w:t>∙α</w:t>
      </w:r>
      <w:r w:rsidR="009B422F" w:rsidRPr="00411155">
        <w:rPr>
          <w:i/>
          <w:sz w:val="24"/>
          <w:szCs w:val="24"/>
          <w:vertAlign w:val="subscript"/>
        </w:rPr>
        <w:t>γων</w:t>
      </w:r>
      <w:r w:rsidR="009B422F">
        <w:t xml:space="preserve">  (2)</w:t>
      </w:r>
    </w:p>
    <w:p w:rsidR="009B422F" w:rsidRDefault="009B422F" w:rsidP="00411155">
      <w:pPr>
        <w:ind w:left="340"/>
      </w:pPr>
      <w:r>
        <w:t xml:space="preserve">Αλλά από την κύλιση έχουμε ακόμη </w:t>
      </w:r>
      <w:proofErr w:type="spellStart"/>
      <w:r>
        <w:t>α</w:t>
      </w:r>
      <w:r>
        <w:rPr>
          <w:vertAlign w:val="subscript"/>
        </w:rPr>
        <w:t>cm</w:t>
      </w:r>
      <w:r>
        <w:t>=α</w:t>
      </w:r>
      <w:r>
        <w:rPr>
          <w:vertAlign w:val="subscript"/>
        </w:rPr>
        <w:t>γων</w:t>
      </w:r>
      <w:r>
        <w:t>∙R</w:t>
      </w:r>
      <w:proofErr w:type="spellEnd"/>
      <w:r>
        <w:t xml:space="preserve">  (3)</w:t>
      </w:r>
    </w:p>
    <w:p w:rsidR="009B422F" w:rsidRDefault="009B422F" w:rsidP="00411155">
      <w:pPr>
        <w:ind w:left="340"/>
      </w:pPr>
      <w:r>
        <w:t>Από τις παραπάνω εξισώσεις έχουμε:</w:t>
      </w:r>
    </w:p>
    <w:p w:rsidR="009B422F" w:rsidRPr="009B422F" w:rsidRDefault="009B422F" w:rsidP="00411155">
      <w:pPr>
        <w:jc w:val="center"/>
        <w:rPr>
          <w:lang w:val="en-US"/>
        </w:rPr>
      </w:pPr>
      <w:r w:rsidRPr="009B422F">
        <w:rPr>
          <w:position w:val="-24"/>
        </w:rPr>
        <w:object w:dxaOrig="2880" w:dyaOrig="620">
          <v:shape id="_x0000_i1031" type="#_x0000_t75" style="width:2in;height:31pt" o:ole="">
            <v:imagedata r:id="rId19" o:title=""/>
          </v:shape>
          <o:OLEObject Type="Embed" ProgID="Equation.3" ShapeID="_x0000_i1031" DrawAspect="Content" ObjectID="_1518984071" r:id="rId20"/>
        </w:object>
      </w:r>
    </w:p>
    <w:p w:rsidR="009B422F" w:rsidRPr="009B422F" w:rsidRDefault="009B422F" w:rsidP="00411155">
      <w:pPr>
        <w:ind w:left="397"/>
      </w:pPr>
      <w:r>
        <w:t xml:space="preserve">Σωστή η γ) πρόταση, αφού </w:t>
      </w:r>
      <w:proofErr w:type="spellStart"/>
      <w:r w:rsidRPr="00F130CC">
        <w:rPr>
          <w:i/>
          <w:sz w:val="24"/>
          <w:szCs w:val="24"/>
        </w:rPr>
        <w:t>y=R</w:t>
      </w:r>
      <w:proofErr w:type="spellEnd"/>
      <w:r w:rsidRPr="00F130CC">
        <w:rPr>
          <w:i/>
          <w:sz w:val="24"/>
          <w:szCs w:val="24"/>
        </w:rPr>
        <w:t>-r=</w:t>
      </w:r>
      <w:r w:rsidRPr="00F130CC">
        <w:rPr>
          <w:i/>
          <w:position w:val="-24"/>
          <w:sz w:val="24"/>
          <w:szCs w:val="24"/>
        </w:rPr>
        <w:object w:dxaOrig="1400" w:dyaOrig="620">
          <v:shape id="_x0000_i1032" type="#_x0000_t75" style="width:69.95pt;height:31pt" o:ole="">
            <v:imagedata r:id="rId21" o:title=""/>
          </v:shape>
          <o:OLEObject Type="Embed" ProgID="Equation.3" ShapeID="_x0000_i1032" DrawAspect="Content" ObjectID="_1518984072" r:id="rId22"/>
        </w:object>
      </w:r>
      <w:r w:rsidRPr="00F130CC">
        <w:rPr>
          <w:i/>
          <w:sz w:val="24"/>
          <w:szCs w:val="24"/>
        </w:rPr>
        <w:t>.</w:t>
      </w:r>
    </w:p>
    <w:p w:rsidR="009B422F" w:rsidRDefault="00F14483" w:rsidP="00F14483">
      <w:pPr>
        <w:pStyle w:val="1"/>
      </w:pPr>
      <w:r>
        <w:lastRenderedPageBreak/>
        <w:t>Αναλύουμε τώρα την δ</w:t>
      </w:r>
      <w:r w:rsidR="00636FAB">
        <w:t xml:space="preserve">ύναμη </w:t>
      </w:r>
      <w:r w:rsidR="00636FAB" w:rsidRPr="00636FAB">
        <w:rPr>
          <w:position w:val="-4"/>
        </w:rPr>
        <w:object w:dxaOrig="260" w:dyaOrig="320">
          <v:shape id="_x0000_i1033" type="#_x0000_t75" style="width:13.1pt;height:15.85pt" o:ole="">
            <v:imagedata r:id="rId23" o:title=""/>
          </v:shape>
          <o:OLEObject Type="Embed" ProgID="Equation.3" ShapeID="_x0000_i1033" DrawAspect="Content" ObjectID="_1518984073" r:id="rId24"/>
        </w:object>
      </w:r>
      <w:r>
        <w:t xml:space="preserve"> σε οριζόντια και κατακόρυφη συνιστώσα και στη συν</w:t>
      </w:r>
      <w:r>
        <w:t>έ</w:t>
      </w:r>
      <w:r>
        <w:t>χεια δουλεύουμε ξανά όπως παραπάνω, παίρνοντας:</w:t>
      </w:r>
    </w:p>
    <w:tbl>
      <w:tblPr>
        <w:tblpPr w:leftFromText="180" w:rightFromText="180" w:vertAnchor="text" w:tblpXSpec="right" w:tblpY="2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6"/>
      </w:tblGrid>
      <w:tr w:rsidR="00A820AB" w:rsidTr="00A7766F">
        <w:trPr>
          <w:trHeight w:val="1013"/>
          <w:jc w:val="right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820AB" w:rsidRDefault="002E770D" w:rsidP="00A820AB">
            <w:r>
              <w:object w:dxaOrig="1708" w:dyaOrig="1623">
                <v:shape id="_x0000_i1034" type="#_x0000_t75" style="width:85.45pt;height:81.3pt" o:ole="" filled="t" fillcolor="#8db3e2 [1311]">
                  <v:fill color2="fill lighten(51)" focusposition=".5,.5" focussize="" method="linear sigma" focus="100%" type="gradientRadial"/>
                  <v:imagedata r:id="rId25" o:title=""/>
                </v:shape>
                <o:OLEObject Type="Embed" ProgID="Visio.Drawing.11" ShapeID="_x0000_i1034" DrawAspect="Content" ObjectID="_1518984074" r:id="rId26"/>
              </w:object>
            </w:r>
          </w:p>
        </w:tc>
      </w:tr>
    </w:tbl>
    <w:p w:rsidR="00A820AB" w:rsidRPr="006853C8" w:rsidRDefault="00A820AB" w:rsidP="00A820AB">
      <w:pPr>
        <w:ind w:left="340"/>
      </w:pPr>
      <w:r>
        <w:t xml:space="preserve">Μεταφορική κίνηση: :  </w:t>
      </w:r>
      <w:r w:rsidRPr="006853C8">
        <w:rPr>
          <w:position w:val="-12"/>
        </w:rPr>
        <w:object w:dxaOrig="2700" w:dyaOrig="400">
          <v:shape id="_x0000_i1035" type="#_x0000_t75" style="width:135.05pt;height:20pt" o:ole="">
            <v:imagedata r:id="rId27" o:title=""/>
          </v:shape>
          <o:OLEObject Type="Embed" ProgID="Equation.3" ShapeID="_x0000_i1035" DrawAspect="Content" ObjectID="_1518984075" r:id="rId28"/>
        </w:object>
      </w:r>
      <w:r w:rsidRPr="006853C8">
        <w:t xml:space="preserve">  (1</w:t>
      </w:r>
      <w:r>
        <w:t>α</w:t>
      </w:r>
      <w:r w:rsidRPr="006853C8">
        <w:t>)</w:t>
      </w:r>
    </w:p>
    <w:p w:rsidR="00A820AB" w:rsidRDefault="00A820AB" w:rsidP="00A820AB">
      <w:pPr>
        <w:ind w:left="340"/>
      </w:pPr>
      <w:r>
        <w:t xml:space="preserve">Στροφική:  </w:t>
      </w:r>
      <w:r w:rsidRPr="009B422F">
        <w:t xml:space="preserve">     </w:t>
      </w:r>
      <w:r w:rsidR="00E0302D">
        <w:t xml:space="preserve">    </w:t>
      </w:r>
      <w:proofErr w:type="spellStart"/>
      <w:r w:rsidRPr="009B422F">
        <w:rPr>
          <w:i/>
          <w:sz w:val="24"/>
          <w:szCs w:val="24"/>
        </w:rPr>
        <w:t>Στ</w:t>
      </w:r>
      <w:r w:rsidRPr="009B422F">
        <w:rPr>
          <w:i/>
          <w:sz w:val="24"/>
          <w:szCs w:val="24"/>
          <w:vertAlign w:val="subscript"/>
        </w:rPr>
        <w:t>ο</w:t>
      </w:r>
      <w:r w:rsidRPr="009B422F">
        <w:rPr>
          <w:i/>
          <w:sz w:val="24"/>
          <w:szCs w:val="24"/>
        </w:rPr>
        <w:t>=Ι</w:t>
      </w:r>
      <w:r w:rsidRPr="009B422F">
        <w:rPr>
          <w:i/>
          <w:sz w:val="24"/>
          <w:szCs w:val="24"/>
          <w:vertAlign w:val="subscript"/>
        </w:rPr>
        <w:t>cm</w:t>
      </w:r>
      <w:r w:rsidRPr="009B422F">
        <w:rPr>
          <w:i/>
          <w:sz w:val="24"/>
          <w:szCs w:val="24"/>
        </w:rPr>
        <w:t>∙α</w:t>
      </w:r>
      <w:r w:rsidRPr="009B422F">
        <w:rPr>
          <w:i/>
          <w:sz w:val="24"/>
          <w:szCs w:val="24"/>
          <w:vertAlign w:val="subscript"/>
        </w:rPr>
        <w:t>γων</w:t>
      </w:r>
      <w:proofErr w:type="spellEnd"/>
      <w:r w:rsidRPr="009B422F">
        <w:rPr>
          <w:i/>
          <w:sz w:val="24"/>
          <w:szCs w:val="24"/>
        </w:rPr>
        <w:t xml:space="preserve"> </w:t>
      </w:r>
      <w:r>
        <w:t xml:space="preserve">→ </w:t>
      </w:r>
      <w:proofErr w:type="spellStart"/>
      <w:r w:rsidRPr="00411155">
        <w:rPr>
          <w:i/>
          <w:sz w:val="24"/>
          <w:szCs w:val="24"/>
        </w:rPr>
        <w:t>F∙r</w:t>
      </w:r>
      <w:proofErr w:type="spellEnd"/>
      <w:r w:rsidRPr="00411155">
        <w:rPr>
          <w:i/>
          <w:sz w:val="24"/>
          <w:szCs w:val="24"/>
        </w:rPr>
        <w:t xml:space="preserve"> = ½ ΜR</w:t>
      </w:r>
      <w:r w:rsidRPr="00411155">
        <w:rPr>
          <w:i/>
          <w:sz w:val="24"/>
          <w:szCs w:val="24"/>
          <w:vertAlign w:val="superscript"/>
        </w:rPr>
        <w:t>2</w:t>
      </w:r>
      <w:r w:rsidRPr="00411155">
        <w:rPr>
          <w:i/>
          <w:sz w:val="24"/>
          <w:szCs w:val="24"/>
        </w:rPr>
        <w:t>∙α</w:t>
      </w:r>
      <w:r w:rsidRPr="00411155">
        <w:rPr>
          <w:i/>
          <w:sz w:val="24"/>
          <w:szCs w:val="24"/>
          <w:vertAlign w:val="subscript"/>
        </w:rPr>
        <w:t>γων</w:t>
      </w:r>
      <w:r>
        <w:rPr>
          <w:i/>
          <w:sz w:val="24"/>
          <w:szCs w:val="24"/>
          <w:vertAlign w:val="subscript"/>
        </w:rPr>
        <w:t>/1</w:t>
      </w:r>
      <w:r>
        <w:t xml:space="preserve">  (2α)</w:t>
      </w:r>
    </w:p>
    <w:p w:rsidR="00636FAB" w:rsidRPr="00636FAB" w:rsidRDefault="00A820AB" w:rsidP="0035580F">
      <w:pPr>
        <w:ind w:left="340"/>
      </w:pPr>
      <w:r>
        <w:t>Από την σύγκριση των (1) και (1</w:t>
      </w:r>
      <w:r w:rsidRPr="00A820AB">
        <w:rPr>
          <w:vertAlign w:val="superscript"/>
        </w:rPr>
        <w:t>α</w:t>
      </w:r>
      <w:r>
        <w:t xml:space="preserve">), αφού </w:t>
      </w:r>
      <w:proofErr w:type="spellStart"/>
      <w:r>
        <w:t>F</w:t>
      </w:r>
      <w:r>
        <w:rPr>
          <w:vertAlign w:val="subscript"/>
        </w:rPr>
        <w:t>x</w:t>
      </w:r>
      <w:r>
        <w:t>&lt;F</w:t>
      </w:r>
      <w:proofErr w:type="spellEnd"/>
      <w:r>
        <w:t xml:space="preserve"> προκύπτει ότι η νέα επιτάχυνση του κέντρου μάζας α</w:t>
      </w:r>
      <w:r>
        <w:rPr>
          <w:vertAlign w:val="subscript"/>
        </w:rPr>
        <w:t>cm/1</w:t>
      </w:r>
      <w:r>
        <w:t xml:space="preserve"> θα είναι μικρότερη της αρχικής</w:t>
      </w:r>
      <w:r w:rsidR="0035580F">
        <w:t xml:space="preserve"> επιτάχυνσης</w:t>
      </w:r>
      <w:r>
        <w:t xml:space="preserve">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>.</w:t>
      </w:r>
      <w:r w:rsidR="00A7766F">
        <w:t xml:space="preserve"> </w:t>
      </w:r>
    </w:p>
    <w:p w:rsidR="00636FAB" w:rsidRDefault="00636FAB" w:rsidP="0035580F">
      <w:pPr>
        <w:ind w:left="340"/>
      </w:pPr>
      <w:r>
        <w:t>Αν λοιπόν υποθέσουμε ότι η αλλαγή στη διεύθυνση του νήματος έγινε τη στιγμή t</w:t>
      </w:r>
      <w:r>
        <w:rPr>
          <w:vertAlign w:val="subscript"/>
        </w:rPr>
        <w:t>1</w:t>
      </w:r>
      <w:r>
        <w:t>, κάθε επόμενη χρονική στιγμή t, το κέντρο μάζας Ο θα έχει ταχύτητα προς τα δεξιά, μέτρου:</w:t>
      </w:r>
    </w:p>
    <w:p w:rsidR="00636FAB" w:rsidRPr="0035580F" w:rsidRDefault="0035580F" w:rsidP="0035580F">
      <w:pPr>
        <w:jc w:val="center"/>
      </w:pPr>
      <w:r w:rsidRPr="007178FE">
        <w:rPr>
          <w:i/>
          <w:sz w:val="24"/>
          <w:szCs w:val="24"/>
        </w:rPr>
        <w:t>υ</w:t>
      </w:r>
      <w:r w:rsidRPr="007178FE">
        <w:rPr>
          <w:i/>
          <w:sz w:val="24"/>
          <w:szCs w:val="24"/>
          <w:vertAlign w:val="subscript"/>
        </w:rPr>
        <w:t>cm/1</w:t>
      </w:r>
      <w:r w:rsidRPr="007178FE">
        <w:rPr>
          <w:i/>
          <w:sz w:val="24"/>
          <w:szCs w:val="24"/>
        </w:rPr>
        <w:t>= υ</w:t>
      </w:r>
      <w:r w:rsidRPr="007178FE">
        <w:rPr>
          <w:i/>
          <w:sz w:val="24"/>
          <w:szCs w:val="24"/>
          <w:vertAlign w:val="subscript"/>
        </w:rPr>
        <w:t>1</w:t>
      </w:r>
      <w:r w:rsidRPr="007178FE">
        <w:rPr>
          <w:i/>
          <w:sz w:val="24"/>
          <w:szCs w:val="24"/>
        </w:rPr>
        <w:t>+α</w:t>
      </w:r>
      <w:r w:rsidRPr="007178FE">
        <w:rPr>
          <w:i/>
          <w:sz w:val="24"/>
          <w:szCs w:val="24"/>
          <w:vertAlign w:val="subscript"/>
        </w:rPr>
        <w:t>cm/1</w:t>
      </w:r>
      <w:r w:rsidRPr="007178FE">
        <w:rPr>
          <w:i/>
          <w:sz w:val="24"/>
          <w:szCs w:val="24"/>
        </w:rPr>
        <w:t>(t-t</w:t>
      </w:r>
      <w:r w:rsidRPr="007178FE">
        <w:rPr>
          <w:i/>
          <w:sz w:val="24"/>
          <w:szCs w:val="24"/>
          <w:vertAlign w:val="subscript"/>
        </w:rPr>
        <w:t>1</w:t>
      </w:r>
      <w:r w:rsidRPr="007178FE">
        <w:rPr>
          <w:i/>
          <w:sz w:val="24"/>
          <w:szCs w:val="24"/>
        </w:rPr>
        <w:t>)</w:t>
      </w:r>
      <w:r>
        <w:t xml:space="preserve"> (4)</w:t>
      </w:r>
    </w:p>
    <w:p w:rsidR="002E770D" w:rsidRDefault="00E0302D" w:rsidP="002E770D">
      <w:pPr>
        <w:ind w:left="397"/>
      </w:pPr>
      <w:r>
        <w:t>όπου υ</w:t>
      </w:r>
      <w:r>
        <w:rPr>
          <w:vertAlign w:val="subscript"/>
        </w:rPr>
        <w:t>1</w:t>
      </w:r>
      <w:r>
        <w:t xml:space="preserve"> η ταχύτητα του κέντρου μάζας τη στιγμή αλλαγής της διεύθυνσης του νήματος</w:t>
      </w:r>
      <w:r w:rsidR="004F3A64">
        <w:t>, η οποία συνδέεται με την γωνιακή ταχύτητα, την ίδια στιγμή, με τη σχέση υ</w:t>
      </w:r>
      <w:r w:rsidR="004F3A64">
        <w:rPr>
          <w:vertAlign w:val="subscript"/>
        </w:rPr>
        <w:t>1</w:t>
      </w:r>
      <w:r w:rsidR="004F3A64">
        <w:t>=ω</w:t>
      </w:r>
      <w:r w:rsidR="004F3A64">
        <w:rPr>
          <w:vertAlign w:val="subscript"/>
        </w:rPr>
        <w:t>1</w:t>
      </w:r>
      <w:r w:rsidR="004F3A64">
        <w:t xml:space="preserve">R </w:t>
      </w:r>
      <w:r>
        <w:t xml:space="preserve">. </w:t>
      </w:r>
      <w:r w:rsidR="0035580F">
        <w:t xml:space="preserve">Εξάλλου </w:t>
      </w:r>
      <w:r w:rsidR="00A820AB">
        <w:t>από την σύγκριση των σχέσεων (2) και (2</w:t>
      </w:r>
      <w:r w:rsidR="00A820AB" w:rsidRPr="00A820AB">
        <w:rPr>
          <w:vertAlign w:val="superscript"/>
        </w:rPr>
        <w:t>α</w:t>
      </w:r>
      <w:r w:rsidR="00A820AB">
        <w:t>) προκύπτει ότι α</w:t>
      </w:r>
      <w:r w:rsidR="00A820AB">
        <w:rPr>
          <w:vertAlign w:val="subscript"/>
        </w:rPr>
        <w:t>γων/1</w:t>
      </w:r>
      <w:r w:rsidR="00A820AB">
        <w:t>=α</w:t>
      </w:r>
      <w:r w:rsidR="00A820AB">
        <w:rPr>
          <w:vertAlign w:val="subscript"/>
        </w:rPr>
        <w:t>γων</w:t>
      </w:r>
      <w:r w:rsidR="0035580F">
        <w:t xml:space="preserve">, πράγμα που </w:t>
      </w:r>
      <w:r w:rsidR="00A820AB">
        <w:t>σημαίνει ότι</w:t>
      </w:r>
      <w:r w:rsidR="002E770D" w:rsidRPr="002E770D">
        <w:t xml:space="preserve"> </w:t>
      </w:r>
      <w:r w:rsidR="002E770D">
        <w:t>η αλλαγή της διεύθυνσης του νήματος, δεν μετέβαλε τη γωνιακή επιτάχυνση του στ</w:t>
      </w:r>
      <w:r w:rsidR="002E770D">
        <w:t>ε</w:t>
      </w:r>
      <w:r w:rsidR="002E770D">
        <w:t>ρεού μας. Πράγμα άλλωστε αναμενόμενο, αφού η ροπή της  δύναμης δεν μετεβλ</w:t>
      </w:r>
      <w:r w:rsidR="002E770D">
        <w:t>ή</w:t>
      </w:r>
      <w:r w:rsidR="002E770D">
        <w:t>θη…</w:t>
      </w:r>
    </w:p>
    <w:p w:rsidR="00F14483" w:rsidRDefault="00A820AB" w:rsidP="002E770D">
      <w:pPr>
        <w:ind w:left="397"/>
      </w:pPr>
      <w:r>
        <w:t xml:space="preserve"> </w:t>
      </w:r>
      <w:r w:rsidR="002E770D">
        <w:t xml:space="preserve">Ας </w:t>
      </w:r>
      <w:r>
        <w:t>έρθουμε</w:t>
      </w:r>
      <w:r w:rsidR="002E770D">
        <w:t xml:space="preserve"> τώρα</w:t>
      </w:r>
      <w:r>
        <w:t xml:space="preserve"> στο σημείο επαφής του κυλίνδρου με το επίπεδο,</w:t>
      </w:r>
      <w:r w:rsidR="002E770D">
        <w:t xml:space="preserve"> στο</w:t>
      </w:r>
      <w:r>
        <w:t xml:space="preserve"> σημείο Γ</w:t>
      </w:r>
      <w:r w:rsidR="002E770D">
        <w:t>. Αυτό</w:t>
      </w:r>
      <w:r>
        <w:t xml:space="preserve"> θα έχει μια ταχύτητα υ</w:t>
      </w:r>
      <w:r w:rsidR="000731B0">
        <w:rPr>
          <w:vertAlign w:val="subscript"/>
        </w:rPr>
        <w:t>cm/1</w:t>
      </w:r>
      <w:r w:rsidR="000731B0">
        <w:t xml:space="preserve"> με φορά προς τα δεξιά και μια</w:t>
      </w:r>
      <w:r w:rsidR="002E770D">
        <w:t xml:space="preserve"> </w:t>
      </w:r>
      <w:proofErr w:type="spellStart"/>
      <w:r w:rsidR="002E770D">
        <w:t>υ</w:t>
      </w:r>
      <w:r w:rsidR="002E770D">
        <w:rPr>
          <w:vertAlign w:val="subscript"/>
        </w:rPr>
        <w:t>γρ</w:t>
      </w:r>
      <w:proofErr w:type="spellEnd"/>
      <w:r w:rsidR="000731B0">
        <w:t xml:space="preserve"> εξαιτίας της κυκλικής κίνησης γύρω από το Ο, με φορά προς τα αριστερά και μέτρο:</w:t>
      </w:r>
    </w:p>
    <w:p w:rsidR="000731B0" w:rsidRDefault="00C2112A" w:rsidP="002E770D">
      <w:pPr>
        <w:jc w:val="center"/>
        <w:rPr>
          <w:lang w:val="en-US"/>
        </w:rPr>
      </w:pPr>
      <w:r w:rsidRPr="0035580F">
        <w:rPr>
          <w:position w:val="-14"/>
        </w:rPr>
        <w:object w:dxaOrig="5400" w:dyaOrig="380">
          <v:shape id="_x0000_i1036" type="#_x0000_t75" style="width:270.1pt;height:18.95pt" o:ole="">
            <v:imagedata r:id="rId29" o:title=""/>
          </v:shape>
          <o:OLEObject Type="Embed" ProgID="Equation.3" ShapeID="_x0000_i1036" DrawAspect="Content" ObjectID="_1518984076" r:id="rId30"/>
        </w:object>
      </w:r>
    </w:p>
    <w:p w:rsidR="0035580F" w:rsidRPr="002E770D" w:rsidRDefault="002E770D" w:rsidP="002E770D">
      <w:pPr>
        <w:jc w:val="center"/>
      </w:pPr>
      <w:r w:rsidRPr="0035580F">
        <w:rPr>
          <w:position w:val="-14"/>
        </w:rPr>
        <w:object w:dxaOrig="1980" w:dyaOrig="380">
          <v:shape id="_x0000_i1037" type="#_x0000_t75" style="width:98.85pt;height:18.95pt" o:ole="">
            <v:imagedata r:id="rId31" o:title=""/>
          </v:shape>
          <o:OLEObject Type="Embed" ProgID="Equation.3" ShapeID="_x0000_i1037" DrawAspect="Content" ObjectID="_1518984077" r:id="rId32"/>
        </w:object>
      </w:r>
      <w:r w:rsidRPr="002E770D">
        <w:t xml:space="preserve">  (5)</w:t>
      </w:r>
    </w:p>
    <w:p w:rsidR="002E770D" w:rsidRDefault="002E770D" w:rsidP="005E23C7">
      <w:pPr>
        <w:ind w:left="397"/>
      </w:pPr>
      <w:r>
        <w:t xml:space="preserve">Από την σύγκριση των (4) και (5) προκύπτει ότι </w:t>
      </w:r>
      <w:proofErr w:type="spellStart"/>
      <w:r>
        <w:t>υ</w:t>
      </w:r>
      <w:r>
        <w:rPr>
          <w:vertAlign w:val="subscript"/>
        </w:rPr>
        <w:t>γρ</w:t>
      </w:r>
      <w:r>
        <w:t>&gt;υ</w:t>
      </w:r>
      <w:r>
        <w:rPr>
          <w:vertAlign w:val="subscript"/>
        </w:rPr>
        <w:t>cm</w:t>
      </w:r>
      <w:proofErr w:type="spellEnd"/>
      <w:r>
        <w:t xml:space="preserve"> κάθε στιγμή</w:t>
      </w:r>
      <w:r w:rsidR="005E23C7">
        <w:t xml:space="preserve"> (μετά την αλλαγή της  διεύθυνσης του νήματος)</w:t>
      </w:r>
      <w:r>
        <w:t xml:space="preserve"> και ο κυλινδρικός φλοιός σπινάρει.</w:t>
      </w:r>
    </w:p>
    <w:p w:rsidR="002E770D" w:rsidRPr="002E770D" w:rsidRDefault="002E770D" w:rsidP="005E23C7">
      <w:pPr>
        <w:ind w:left="397"/>
      </w:pPr>
      <w:r>
        <w:t>Σωστή η γ) πρόταση.</w:t>
      </w:r>
    </w:p>
    <w:p w:rsidR="00C2112A" w:rsidRPr="00735C9B" w:rsidRDefault="00C2112A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0731B0" w:rsidRPr="000731B0" w:rsidRDefault="000731B0" w:rsidP="008F096C">
      <w:pPr>
        <w:ind w:left="4962"/>
      </w:pPr>
    </w:p>
    <w:sectPr w:rsidR="000731B0" w:rsidRPr="000731B0" w:rsidSect="00F87121">
      <w:headerReference w:type="default" r:id="rId33"/>
      <w:footerReference w:type="default" r:id="rId3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62" w:rsidRDefault="005F1162" w:rsidP="00A3406C">
      <w:pPr>
        <w:spacing w:line="240" w:lineRule="auto"/>
      </w:pPr>
      <w:r>
        <w:separator/>
      </w:r>
    </w:p>
  </w:endnote>
  <w:endnote w:type="continuationSeparator" w:id="0">
    <w:p w:rsidR="005F1162" w:rsidRDefault="005F1162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Default="009B4A56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871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3A64">
      <w:rPr>
        <w:rStyle w:val="a6"/>
        <w:noProof/>
      </w:rPr>
      <w:t>2</w:t>
    </w:r>
    <w:r>
      <w:rPr>
        <w:rStyle w:val="a6"/>
      </w:rPr>
      <w:fldChar w:fldCharType="end"/>
    </w:r>
  </w:p>
  <w:p w:rsidR="00F87121" w:rsidRPr="00D56705" w:rsidRDefault="00F8712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87121" w:rsidRDefault="00F87121" w:rsidP="00F87121">
    <w:pPr>
      <w:pStyle w:val="a5"/>
    </w:pPr>
  </w:p>
  <w:p w:rsidR="00F87121" w:rsidRDefault="00F87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62" w:rsidRDefault="005F1162" w:rsidP="00A3406C">
      <w:pPr>
        <w:spacing w:line="240" w:lineRule="auto"/>
      </w:pPr>
      <w:r>
        <w:separator/>
      </w:r>
    </w:p>
  </w:footnote>
  <w:footnote w:type="continuationSeparator" w:id="0">
    <w:p w:rsidR="005F1162" w:rsidRDefault="005F1162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Pr="003B487C" w:rsidRDefault="00F8712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87121" w:rsidRDefault="00F871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13E18"/>
    <w:rsid w:val="00037BAE"/>
    <w:rsid w:val="0004429B"/>
    <w:rsid w:val="000530BC"/>
    <w:rsid w:val="0005545C"/>
    <w:rsid w:val="0006516E"/>
    <w:rsid w:val="000731B0"/>
    <w:rsid w:val="00075596"/>
    <w:rsid w:val="00083518"/>
    <w:rsid w:val="000943ED"/>
    <w:rsid w:val="000A044E"/>
    <w:rsid w:val="000B26BE"/>
    <w:rsid w:val="000B7A3F"/>
    <w:rsid w:val="000C1790"/>
    <w:rsid w:val="000C6D09"/>
    <w:rsid w:val="000D4FEE"/>
    <w:rsid w:val="000D5B06"/>
    <w:rsid w:val="000E0A95"/>
    <w:rsid w:val="000E0F17"/>
    <w:rsid w:val="000E6863"/>
    <w:rsid w:val="000E729C"/>
    <w:rsid w:val="000F5028"/>
    <w:rsid w:val="000F61D0"/>
    <w:rsid w:val="00101526"/>
    <w:rsid w:val="00120866"/>
    <w:rsid w:val="00122424"/>
    <w:rsid w:val="00122AA8"/>
    <w:rsid w:val="00123591"/>
    <w:rsid w:val="0013017D"/>
    <w:rsid w:val="001306AB"/>
    <w:rsid w:val="001309CF"/>
    <w:rsid w:val="00135ABF"/>
    <w:rsid w:val="00136AC0"/>
    <w:rsid w:val="001406C8"/>
    <w:rsid w:val="0014108C"/>
    <w:rsid w:val="00160833"/>
    <w:rsid w:val="00162CBE"/>
    <w:rsid w:val="0016411D"/>
    <w:rsid w:val="001650E0"/>
    <w:rsid w:val="001711EE"/>
    <w:rsid w:val="001719EC"/>
    <w:rsid w:val="00171B66"/>
    <w:rsid w:val="001750CD"/>
    <w:rsid w:val="00177B93"/>
    <w:rsid w:val="00180567"/>
    <w:rsid w:val="00183C90"/>
    <w:rsid w:val="001846D4"/>
    <w:rsid w:val="00192A6C"/>
    <w:rsid w:val="00192AB6"/>
    <w:rsid w:val="0019310D"/>
    <w:rsid w:val="00195923"/>
    <w:rsid w:val="0019671B"/>
    <w:rsid w:val="001B02B8"/>
    <w:rsid w:val="001D3E66"/>
    <w:rsid w:val="001D7365"/>
    <w:rsid w:val="001F7EC9"/>
    <w:rsid w:val="002015A4"/>
    <w:rsid w:val="00202A7C"/>
    <w:rsid w:val="00206F61"/>
    <w:rsid w:val="00207C27"/>
    <w:rsid w:val="00224940"/>
    <w:rsid w:val="00227C2D"/>
    <w:rsid w:val="002348B6"/>
    <w:rsid w:val="0024560B"/>
    <w:rsid w:val="00245A37"/>
    <w:rsid w:val="00253B4A"/>
    <w:rsid w:val="00253C15"/>
    <w:rsid w:val="002618F5"/>
    <w:rsid w:val="002643F3"/>
    <w:rsid w:val="002716E8"/>
    <w:rsid w:val="0027213A"/>
    <w:rsid w:val="002736A1"/>
    <w:rsid w:val="00294F3E"/>
    <w:rsid w:val="002A1167"/>
    <w:rsid w:val="002B1811"/>
    <w:rsid w:val="002B64F5"/>
    <w:rsid w:val="002D216D"/>
    <w:rsid w:val="002D696D"/>
    <w:rsid w:val="002E0E77"/>
    <w:rsid w:val="002E63E6"/>
    <w:rsid w:val="002E770D"/>
    <w:rsid w:val="002F2AD7"/>
    <w:rsid w:val="002F3FCA"/>
    <w:rsid w:val="002F4DAF"/>
    <w:rsid w:val="002F5A07"/>
    <w:rsid w:val="00303BEB"/>
    <w:rsid w:val="003066DC"/>
    <w:rsid w:val="0030770D"/>
    <w:rsid w:val="0034384C"/>
    <w:rsid w:val="0035580F"/>
    <w:rsid w:val="0037402A"/>
    <w:rsid w:val="00380970"/>
    <w:rsid w:val="0038597E"/>
    <w:rsid w:val="003A2168"/>
    <w:rsid w:val="003A78FC"/>
    <w:rsid w:val="003C1969"/>
    <w:rsid w:val="003C462A"/>
    <w:rsid w:val="003D547E"/>
    <w:rsid w:val="003E0693"/>
    <w:rsid w:val="003E0B28"/>
    <w:rsid w:val="003E0E28"/>
    <w:rsid w:val="003E3D7B"/>
    <w:rsid w:val="00411155"/>
    <w:rsid w:val="0042272A"/>
    <w:rsid w:val="00443157"/>
    <w:rsid w:val="004453FB"/>
    <w:rsid w:val="00446CCA"/>
    <w:rsid w:val="00447009"/>
    <w:rsid w:val="00450DF4"/>
    <w:rsid w:val="00451076"/>
    <w:rsid w:val="0045667B"/>
    <w:rsid w:val="00470180"/>
    <w:rsid w:val="0047335A"/>
    <w:rsid w:val="00496325"/>
    <w:rsid w:val="004B446C"/>
    <w:rsid w:val="004C2C5B"/>
    <w:rsid w:val="004C2D9E"/>
    <w:rsid w:val="004F208A"/>
    <w:rsid w:val="004F36DA"/>
    <w:rsid w:val="004F3753"/>
    <w:rsid w:val="004F3A64"/>
    <w:rsid w:val="00501D0C"/>
    <w:rsid w:val="00504818"/>
    <w:rsid w:val="0052086B"/>
    <w:rsid w:val="00523638"/>
    <w:rsid w:val="0053027D"/>
    <w:rsid w:val="00531962"/>
    <w:rsid w:val="00532104"/>
    <w:rsid w:val="00534199"/>
    <w:rsid w:val="00534AD5"/>
    <w:rsid w:val="005438C7"/>
    <w:rsid w:val="00555476"/>
    <w:rsid w:val="00556308"/>
    <w:rsid w:val="00573CD9"/>
    <w:rsid w:val="00575B54"/>
    <w:rsid w:val="00575CFA"/>
    <w:rsid w:val="005776E1"/>
    <w:rsid w:val="00583B3A"/>
    <w:rsid w:val="005907E5"/>
    <w:rsid w:val="00594C3F"/>
    <w:rsid w:val="00595B17"/>
    <w:rsid w:val="00596405"/>
    <w:rsid w:val="005A4DA3"/>
    <w:rsid w:val="005B2078"/>
    <w:rsid w:val="005B77BE"/>
    <w:rsid w:val="005D037A"/>
    <w:rsid w:val="005D13BC"/>
    <w:rsid w:val="005D6D21"/>
    <w:rsid w:val="005E23C7"/>
    <w:rsid w:val="005E3E2E"/>
    <w:rsid w:val="005F1162"/>
    <w:rsid w:val="005F73A0"/>
    <w:rsid w:val="00611D2B"/>
    <w:rsid w:val="00616F7E"/>
    <w:rsid w:val="006229D9"/>
    <w:rsid w:val="006252AB"/>
    <w:rsid w:val="00627F86"/>
    <w:rsid w:val="0063075C"/>
    <w:rsid w:val="00632B45"/>
    <w:rsid w:val="00634668"/>
    <w:rsid w:val="00635F6D"/>
    <w:rsid w:val="00636FAB"/>
    <w:rsid w:val="00644385"/>
    <w:rsid w:val="00644C99"/>
    <w:rsid w:val="00647A96"/>
    <w:rsid w:val="006809D3"/>
    <w:rsid w:val="00683284"/>
    <w:rsid w:val="00683797"/>
    <w:rsid w:val="006853C8"/>
    <w:rsid w:val="00685D22"/>
    <w:rsid w:val="0069267E"/>
    <w:rsid w:val="00692D94"/>
    <w:rsid w:val="0069777F"/>
    <w:rsid w:val="00697FED"/>
    <w:rsid w:val="006A319D"/>
    <w:rsid w:val="006A6FD9"/>
    <w:rsid w:val="006B5BC4"/>
    <w:rsid w:val="006B60EC"/>
    <w:rsid w:val="006C0D6E"/>
    <w:rsid w:val="006C603A"/>
    <w:rsid w:val="006D7284"/>
    <w:rsid w:val="006E4078"/>
    <w:rsid w:val="006E5F95"/>
    <w:rsid w:val="006F1DC3"/>
    <w:rsid w:val="00702603"/>
    <w:rsid w:val="00712D77"/>
    <w:rsid w:val="007178FE"/>
    <w:rsid w:val="00734E06"/>
    <w:rsid w:val="007415F1"/>
    <w:rsid w:val="00742E2F"/>
    <w:rsid w:val="00744C40"/>
    <w:rsid w:val="0074700F"/>
    <w:rsid w:val="00747613"/>
    <w:rsid w:val="007547E2"/>
    <w:rsid w:val="00760FEB"/>
    <w:rsid w:val="00767A80"/>
    <w:rsid w:val="00782024"/>
    <w:rsid w:val="0078525D"/>
    <w:rsid w:val="00790CB4"/>
    <w:rsid w:val="007916AF"/>
    <w:rsid w:val="00792071"/>
    <w:rsid w:val="007A04D2"/>
    <w:rsid w:val="007A1602"/>
    <w:rsid w:val="007A7D9E"/>
    <w:rsid w:val="007B3361"/>
    <w:rsid w:val="007B5C7B"/>
    <w:rsid w:val="007C1292"/>
    <w:rsid w:val="007D56F1"/>
    <w:rsid w:val="007E3522"/>
    <w:rsid w:val="007F18A1"/>
    <w:rsid w:val="00801DFD"/>
    <w:rsid w:val="008055C1"/>
    <w:rsid w:val="00807767"/>
    <w:rsid w:val="008133D8"/>
    <w:rsid w:val="0081766E"/>
    <w:rsid w:val="00817823"/>
    <w:rsid w:val="0081793F"/>
    <w:rsid w:val="00824A6A"/>
    <w:rsid w:val="00827F19"/>
    <w:rsid w:val="00831D6F"/>
    <w:rsid w:val="00836A1A"/>
    <w:rsid w:val="008539AD"/>
    <w:rsid w:val="008553C2"/>
    <w:rsid w:val="00864212"/>
    <w:rsid w:val="00874732"/>
    <w:rsid w:val="00874EE1"/>
    <w:rsid w:val="00884D3E"/>
    <w:rsid w:val="0088708D"/>
    <w:rsid w:val="00892425"/>
    <w:rsid w:val="008A1AEC"/>
    <w:rsid w:val="008B2BD9"/>
    <w:rsid w:val="008B46D5"/>
    <w:rsid w:val="008B4F46"/>
    <w:rsid w:val="008B665E"/>
    <w:rsid w:val="008E1EDE"/>
    <w:rsid w:val="008F096C"/>
    <w:rsid w:val="008F3201"/>
    <w:rsid w:val="008F6B0C"/>
    <w:rsid w:val="008F7C18"/>
    <w:rsid w:val="00904260"/>
    <w:rsid w:val="009064CC"/>
    <w:rsid w:val="009103FF"/>
    <w:rsid w:val="00920DE2"/>
    <w:rsid w:val="00921264"/>
    <w:rsid w:val="0092138B"/>
    <w:rsid w:val="009222EC"/>
    <w:rsid w:val="009238AC"/>
    <w:rsid w:val="0092530A"/>
    <w:rsid w:val="00932743"/>
    <w:rsid w:val="009365C5"/>
    <w:rsid w:val="00947BDA"/>
    <w:rsid w:val="009569C2"/>
    <w:rsid w:val="00967493"/>
    <w:rsid w:val="00987F5F"/>
    <w:rsid w:val="00990A72"/>
    <w:rsid w:val="00993C01"/>
    <w:rsid w:val="009A07FB"/>
    <w:rsid w:val="009A263A"/>
    <w:rsid w:val="009A3224"/>
    <w:rsid w:val="009B422F"/>
    <w:rsid w:val="009B4A56"/>
    <w:rsid w:val="009B6180"/>
    <w:rsid w:val="009B6BF8"/>
    <w:rsid w:val="009C155F"/>
    <w:rsid w:val="009C1C79"/>
    <w:rsid w:val="009C4B11"/>
    <w:rsid w:val="009D32EE"/>
    <w:rsid w:val="009D77B3"/>
    <w:rsid w:val="009D7D9F"/>
    <w:rsid w:val="00A0191C"/>
    <w:rsid w:val="00A052D2"/>
    <w:rsid w:val="00A2517B"/>
    <w:rsid w:val="00A3406C"/>
    <w:rsid w:val="00A341B3"/>
    <w:rsid w:val="00A417E4"/>
    <w:rsid w:val="00A560D4"/>
    <w:rsid w:val="00A67B01"/>
    <w:rsid w:val="00A77132"/>
    <w:rsid w:val="00A7766F"/>
    <w:rsid w:val="00A820AB"/>
    <w:rsid w:val="00A84356"/>
    <w:rsid w:val="00A84635"/>
    <w:rsid w:val="00A87968"/>
    <w:rsid w:val="00A91A1A"/>
    <w:rsid w:val="00A91A85"/>
    <w:rsid w:val="00A95C9C"/>
    <w:rsid w:val="00A96423"/>
    <w:rsid w:val="00AA5B2A"/>
    <w:rsid w:val="00AB5706"/>
    <w:rsid w:val="00AD1BE5"/>
    <w:rsid w:val="00AD3BE9"/>
    <w:rsid w:val="00AF12B6"/>
    <w:rsid w:val="00B02384"/>
    <w:rsid w:val="00B04520"/>
    <w:rsid w:val="00B047EC"/>
    <w:rsid w:val="00B22C0A"/>
    <w:rsid w:val="00B27A2C"/>
    <w:rsid w:val="00B315D8"/>
    <w:rsid w:val="00B34D91"/>
    <w:rsid w:val="00B35726"/>
    <w:rsid w:val="00B4365A"/>
    <w:rsid w:val="00B5448F"/>
    <w:rsid w:val="00B61CAE"/>
    <w:rsid w:val="00B6460A"/>
    <w:rsid w:val="00B65EB3"/>
    <w:rsid w:val="00B71099"/>
    <w:rsid w:val="00B71658"/>
    <w:rsid w:val="00B7332E"/>
    <w:rsid w:val="00B778EB"/>
    <w:rsid w:val="00B845A5"/>
    <w:rsid w:val="00B93AFD"/>
    <w:rsid w:val="00B93D77"/>
    <w:rsid w:val="00B949F1"/>
    <w:rsid w:val="00BB6C83"/>
    <w:rsid w:val="00BC2AA8"/>
    <w:rsid w:val="00BC7D45"/>
    <w:rsid w:val="00BD3974"/>
    <w:rsid w:val="00BD4AD9"/>
    <w:rsid w:val="00BD69F3"/>
    <w:rsid w:val="00BE4E2A"/>
    <w:rsid w:val="00BE69D7"/>
    <w:rsid w:val="00BF603C"/>
    <w:rsid w:val="00C042B9"/>
    <w:rsid w:val="00C14A12"/>
    <w:rsid w:val="00C14EDB"/>
    <w:rsid w:val="00C2112A"/>
    <w:rsid w:val="00C222EB"/>
    <w:rsid w:val="00C2721A"/>
    <w:rsid w:val="00C31335"/>
    <w:rsid w:val="00C41288"/>
    <w:rsid w:val="00C4201C"/>
    <w:rsid w:val="00C45239"/>
    <w:rsid w:val="00C51240"/>
    <w:rsid w:val="00C75D87"/>
    <w:rsid w:val="00C82A19"/>
    <w:rsid w:val="00C91E5A"/>
    <w:rsid w:val="00C91EEE"/>
    <w:rsid w:val="00CA311C"/>
    <w:rsid w:val="00CC2E8D"/>
    <w:rsid w:val="00CD6371"/>
    <w:rsid w:val="00CE014C"/>
    <w:rsid w:val="00CE173A"/>
    <w:rsid w:val="00CE26F8"/>
    <w:rsid w:val="00CE36DE"/>
    <w:rsid w:val="00CE6AE0"/>
    <w:rsid w:val="00D00392"/>
    <w:rsid w:val="00D035A2"/>
    <w:rsid w:val="00D05EA7"/>
    <w:rsid w:val="00D060F3"/>
    <w:rsid w:val="00D075CC"/>
    <w:rsid w:val="00D14864"/>
    <w:rsid w:val="00D22EB5"/>
    <w:rsid w:val="00D25E9D"/>
    <w:rsid w:val="00D26DEA"/>
    <w:rsid w:val="00D458B2"/>
    <w:rsid w:val="00D4596C"/>
    <w:rsid w:val="00D51085"/>
    <w:rsid w:val="00D6094C"/>
    <w:rsid w:val="00D736CF"/>
    <w:rsid w:val="00D82BC8"/>
    <w:rsid w:val="00DA0916"/>
    <w:rsid w:val="00DA3575"/>
    <w:rsid w:val="00DA3F17"/>
    <w:rsid w:val="00DB6B3E"/>
    <w:rsid w:val="00DC36A9"/>
    <w:rsid w:val="00DC4B74"/>
    <w:rsid w:val="00DD0A92"/>
    <w:rsid w:val="00DD0E36"/>
    <w:rsid w:val="00DE7B58"/>
    <w:rsid w:val="00DF16AC"/>
    <w:rsid w:val="00E00421"/>
    <w:rsid w:val="00E0043F"/>
    <w:rsid w:val="00E0302D"/>
    <w:rsid w:val="00E05CF5"/>
    <w:rsid w:val="00E14C7D"/>
    <w:rsid w:val="00E46309"/>
    <w:rsid w:val="00E53756"/>
    <w:rsid w:val="00E57CA1"/>
    <w:rsid w:val="00E72F58"/>
    <w:rsid w:val="00E82AFF"/>
    <w:rsid w:val="00E93FFD"/>
    <w:rsid w:val="00E970BF"/>
    <w:rsid w:val="00EA05BB"/>
    <w:rsid w:val="00EA664E"/>
    <w:rsid w:val="00EA72B9"/>
    <w:rsid w:val="00EB0704"/>
    <w:rsid w:val="00EC0699"/>
    <w:rsid w:val="00EC18CC"/>
    <w:rsid w:val="00ED5252"/>
    <w:rsid w:val="00ED7CDA"/>
    <w:rsid w:val="00ED7EB6"/>
    <w:rsid w:val="00EE11CA"/>
    <w:rsid w:val="00EE1B6C"/>
    <w:rsid w:val="00EE40B5"/>
    <w:rsid w:val="00EE52E2"/>
    <w:rsid w:val="00F00ACD"/>
    <w:rsid w:val="00F1021E"/>
    <w:rsid w:val="00F130CC"/>
    <w:rsid w:val="00F14483"/>
    <w:rsid w:val="00F20458"/>
    <w:rsid w:val="00F218BB"/>
    <w:rsid w:val="00F267BC"/>
    <w:rsid w:val="00F27A5C"/>
    <w:rsid w:val="00F41A3B"/>
    <w:rsid w:val="00F42A07"/>
    <w:rsid w:val="00F44F17"/>
    <w:rsid w:val="00F50D14"/>
    <w:rsid w:val="00F5134D"/>
    <w:rsid w:val="00F52269"/>
    <w:rsid w:val="00F53F4E"/>
    <w:rsid w:val="00F63625"/>
    <w:rsid w:val="00F652CA"/>
    <w:rsid w:val="00F74B53"/>
    <w:rsid w:val="00F76C8A"/>
    <w:rsid w:val="00F77407"/>
    <w:rsid w:val="00F80130"/>
    <w:rsid w:val="00F82FD7"/>
    <w:rsid w:val="00F84D7B"/>
    <w:rsid w:val="00F87121"/>
    <w:rsid w:val="00F87617"/>
    <w:rsid w:val="00F87930"/>
    <w:rsid w:val="00F87B2C"/>
    <w:rsid w:val="00F92903"/>
    <w:rsid w:val="00F93394"/>
    <w:rsid w:val="00F969D9"/>
    <w:rsid w:val="00FA0EFF"/>
    <w:rsid w:val="00FB19CD"/>
    <w:rsid w:val="00FC3B05"/>
    <w:rsid w:val="00FD49D0"/>
    <w:rsid w:val="00FE1C52"/>
    <w:rsid w:val="00FE3208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</cp:revision>
  <cp:lastPrinted>2016-03-08T21:01:00Z</cp:lastPrinted>
  <dcterms:created xsi:type="dcterms:W3CDTF">2016-03-08T21:13:00Z</dcterms:created>
  <dcterms:modified xsi:type="dcterms:W3CDTF">2016-03-08T21:13:00Z</dcterms:modified>
</cp:coreProperties>
</file>