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B6" w:rsidRDefault="00F115C2" w:rsidP="00F115C2">
      <w:pPr>
        <w:pStyle w:val="10"/>
      </w:pPr>
      <w:r>
        <w:t>Εκτόξευση με διαφορετικές ταχύτητες.</w:t>
      </w:r>
    </w:p>
    <w:tbl>
      <w:tblPr>
        <w:tblpPr w:leftFromText="180" w:rightFromText="180" w:vertAnchor="text" w:tblpXSpec="right" w:tblpY="3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2"/>
      </w:tblGrid>
      <w:tr w:rsidR="00C21AA0" w:rsidTr="00C21AA0">
        <w:trPr>
          <w:trHeight w:val="960"/>
          <w:jc w:val="right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C21AA0" w:rsidRDefault="00C21AA0" w:rsidP="00C21AA0">
            <w:pPr>
              <w:rPr>
                <w:lang w:eastAsia="el-GR"/>
              </w:rPr>
            </w:pPr>
            <w:r>
              <w:object w:dxaOrig="4101" w:dyaOrig="2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25pt;height:138.6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72449724" r:id="rId8"/>
              </w:object>
            </w:r>
          </w:p>
        </w:tc>
      </w:tr>
    </w:tbl>
    <w:p w:rsidR="00F115C2" w:rsidRDefault="00F115C2" w:rsidP="00F115C2">
      <w:pPr>
        <w:rPr>
          <w:lang w:eastAsia="el-GR"/>
        </w:rPr>
      </w:pPr>
      <w:r>
        <w:rPr>
          <w:lang w:eastAsia="el-GR"/>
        </w:rPr>
        <w:t xml:space="preserve">Από  τις ταράτσες δύο πολυκατοικιών και από το ίδιο </w:t>
      </w:r>
      <w:r>
        <w:rPr>
          <w:lang w:eastAsia="el-GR"/>
        </w:rPr>
        <w:t>ύ</w:t>
      </w:r>
      <w:r>
        <w:rPr>
          <w:lang w:eastAsia="el-GR"/>
        </w:rPr>
        <w:t>ψος, εκτοξεύονται ταυτόχρονα δυο μικρές μπάλες</w:t>
      </w:r>
      <w:r w:rsidR="009C6930">
        <w:rPr>
          <w:lang w:eastAsia="el-GR"/>
        </w:rPr>
        <w:t xml:space="preserve"> Α και Β</w:t>
      </w:r>
      <w:r>
        <w:rPr>
          <w:lang w:eastAsia="el-GR"/>
        </w:rPr>
        <w:t>, ίδιας μάζας, με οριζόντιες ταχύτητες μέτρων υ</w:t>
      </w:r>
      <w:r>
        <w:rPr>
          <w:vertAlign w:val="subscript"/>
          <w:lang w:eastAsia="el-GR"/>
        </w:rPr>
        <w:t>0</w:t>
      </w:r>
      <w:r>
        <w:rPr>
          <w:lang w:eastAsia="el-GR"/>
        </w:rPr>
        <w:t xml:space="preserve"> και 2υ</w:t>
      </w:r>
      <w:r>
        <w:rPr>
          <w:vertAlign w:val="subscript"/>
          <w:lang w:eastAsia="el-GR"/>
        </w:rPr>
        <w:t>0</w:t>
      </w:r>
      <w:r>
        <w:rPr>
          <w:lang w:eastAsia="el-GR"/>
        </w:rPr>
        <w:t>, όπως στο σχήμα</w:t>
      </w:r>
      <w:r w:rsidR="00C21AA0">
        <w:rPr>
          <w:lang w:eastAsia="el-GR"/>
        </w:rPr>
        <w:t>, στο ίδιο κατακόρυφο επίπεδο</w:t>
      </w:r>
      <w:r>
        <w:rPr>
          <w:lang w:eastAsia="el-GR"/>
        </w:rPr>
        <w:t>.</w:t>
      </w:r>
      <w:r w:rsidR="00C21AA0">
        <w:rPr>
          <w:lang w:eastAsia="el-GR"/>
        </w:rPr>
        <w:t xml:space="preserve"> Οι μπάλες φτάνουν στο έδαφος, χωρίς η Α να κτυπήσει στην δεξιά πολυκατοικία.</w:t>
      </w:r>
    </w:p>
    <w:p w:rsidR="00021E2B" w:rsidRDefault="009C6930" w:rsidP="00021E2B">
      <w:pPr>
        <w:ind w:left="567" w:hanging="340"/>
        <w:rPr>
          <w:lang w:eastAsia="el-GR"/>
        </w:rPr>
      </w:pPr>
      <w:r>
        <w:rPr>
          <w:lang w:eastAsia="el-GR"/>
        </w:rPr>
        <w:t xml:space="preserve">i) </w:t>
      </w:r>
      <w:r w:rsidR="00021E2B">
        <w:rPr>
          <w:lang w:eastAsia="el-GR"/>
        </w:rPr>
        <w:t>Η απόσταση μεταξύ των δύο σωμάτων:</w:t>
      </w:r>
    </w:p>
    <w:p w:rsidR="00021E2B" w:rsidRDefault="00021E2B" w:rsidP="00021E2B">
      <w:pPr>
        <w:ind w:left="567"/>
        <w:rPr>
          <w:lang w:eastAsia="el-GR"/>
        </w:rPr>
      </w:pPr>
      <w:r>
        <w:rPr>
          <w:lang w:eastAsia="el-GR"/>
        </w:rPr>
        <w:t>α) παραμένει σταθερή.</w:t>
      </w:r>
    </w:p>
    <w:p w:rsidR="00021E2B" w:rsidRDefault="00021E2B" w:rsidP="00021E2B">
      <w:pPr>
        <w:ind w:left="567"/>
        <w:rPr>
          <w:lang w:eastAsia="el-GR"/>
        </w:rPr>
      </w:pPr>
      <w:r>
        <w:rPr>
          <w:lang w:eastAsia="el-GR"/>
        </w:rPr>
        <w:t xml:space="preserve">β) </w:t>
      </w:r>
      <w:r w:rsidR="00A807CE">
        <w:rPr>
          <w:lang w:eastAsia="el-GR"/>
        </w:rPr>
        <w:t xml:space="preserve">Είναι </w:t>
      </w:r>
      <w:r>
        <w:rPr>
          <w:lang w:eastAsia="el-GR"/>
        </w:rPr>
        <w:t>ανάλογ</w:t>
      </w:r>
      <w:r w:rsidR="00A807CE">
        <w:rPr>
          <w:lang w:eastAsia="el-GR"/>
        </w:rPr>
        <w:t>η</w:t>
      </w:r>
      <w:r>
        <w:rPr>
          <w:lang w:eastAsia="el-GR"/>
        </w:rPr>
        <w:t xml:space="preserve"> με το χρόνο κίνησης.</w:t>
      </w:r>
    </w:p>
    <w:p w:rsidR="00021E2B" w:rsidRDefault="00021E2B" w:rsidP="00021E2B">
      <w:pPr>
        <w:ind w:left="567"/>
        <w:rPr>
          <w:lang w:eastAsia="el-GR"/>
        </w:rPr>
      </w:pPr>
      <w:r>
        <w:rPr>
          <w:lang w:eastAsia="el-GR"/>
        </w:rPr>
        <w:t xml:space="preserve">γ) </w:t>
      </w:r>
      <w:r w:rsidR="00A807CE">
        <w:rPr>
          <w:lang w:eastAsia="el-GR"/>
        </w:rPr>
        <w:t xml:space="preserve">Είναι </w:t>
      </w:r>
      <w:r>
        <w:rPr>
          <w:lang w:eastAsia="el-GR"/>
        </w:rPr>
        <w:t>ανάλογ</w:t>
      </w:r>
      <w:r w:rsidR="00A807CE">
        <w:rPr>
          <w:lang w:eastAsia="el-GR"/>
        </w:rPr>
        <w:t>η</w:t>
      </w:r>
      <w:r>
        <w:rPr>
          <w:lang w:eastAsia="el-GR"/>
        </w:rPr>
        <w:t xml:space="preserve"> με το τετράγωνο του χρόνου.</w:t>
      </w:r>
    </w:p>
    <w:p w:rsidR="00021E2B" w:rsidRDefault="00021E2B" w:rsidP="00021E2B">
      <w:pPr>
        <w:ind w:left="567"/>
        <w:rPr>
          <w:lang w:eastAsia="el-GR"/>
        </w:rPr>
      </w:pPr>
      <w:r>
        <w:rPr>
          <w:lang w:eastAsia="el-GR"/>
        </w:rPr>
        <w:t>δ) Τίποτα από τα παραπάνω.</w:t>
      </w:r>
    </w:p>
    <w:p w:rsidR="00A85704" w:rsidRDefault="00A85704" w:rsidP="00A85704">
      <w:pPr>
        <w:rPr>
          <w:lang w:eastAsia="el-GR"/>
        </w:rPr>
      </w:pPr>
      <w:r>
        <w:rPr>
          <w:lang w:eastAsia="el-GR"/>
        </w:rPr>
        <w:t>Για μια στιγμή t</w:t>
      </w:r>
      <w:r>
        <w:rPr>
          <w:vertAlign w:val="subscript"/>
          <w:lang w:eastAsia="el-GR"/>
        </w:rPr>
        <w:t>1</w:t>
      </w:r>
      <w:r>
        <w:rPr>
          <w:lang w:eastAsia="el-GR"/>
        </w:rPr>
        <w:t xml:space="preserve"> και πριν φτάσουν οι μπάλες στο έδαφος:</w:t>
      </w:r>
    </w:p>
    <w:p w:rsidR="00021E2B" w:rsidRDefault="009C6930" w:rsidP="00021E2B">
      <w:pPr>
        <w:ind w:left="567" w:hanging="340"/>
        <w:rPr>
          <w:lang w:eastAsia="el-GR"/>
        </w:rPr>
      </w:pPr>
      <w:r>
        <w:rPr>
          <w:lang w:eastAsia="el-GR"/>
        </w:rPr>
        <w:t xml:space="preserve">ii) </w:t>
      </w:r>
      <w:r w:rsidR="00021E2B">
        <w:rPr>
          <w:lang w:eastAsia="el-GR"/>
        </w:rPr>
        <w:t>Μεγαλύτερη δυναμική ενέργεια έχει:</w:t>
      </w:r>
    </w:p>
    <w:p w:rsidR="00021E2B" w:rsidRDefault="00021E2B" w:rsidP="00021E2B">
      <w:pPr>
        <w:ind w:left="567" w:hanging="340"/>
        <w:jc w:val="center"/>
        <w:rPr>
          <w:lang w:eastAsia="el-GR"/>
        </w:rPr>
      </w:pPr>
      <w:r>
        <w:rPr>
          <w:lang w:eastAsia="el-GR"/>
        </w:rPr>
        <w:t>α) Η μπάλα Α,  β) Η μπάλα Β,  γ) Έχουν ίσες δυναμικές ενέργειες.</w:t>
      </w:r>
    </w:p>
    <w:p w:rsidR="00021E2B" w:rsidRDefault="009C6930" w:rsidP="00021E2B">
      <w:pPr>
        <w:ind w:left="567" w:hanging="340"/>
        <w:rPr>
          <w:lang w:eastAsia="el-GR"/>
        </w:rPr>
      </w:pPr>
      <w:r>
        <w:rPr>
          <w:lang w:eastAsia="el-GR"/>
        </w:rPr>
        <w:t xml:space="preserve">iii) </w:t>
      </w:r>
      <w:r w:rsidR="00021E2B">
        <w:rPr>
          <w:lang w:eastAsia="el-GR"/>
        </w:rPr>
        <w:t>Μεγαλύτερη κινητική ενέργεια έχει:</w:t>
      </w:r>
    </w:p>
    <w:p w:rsidR="00021E2B" w:rsidRDefault="00021E2B" w:rsidP="00021E2B">
      <w:pPr>
        <w:ind w:left="567" w:hanging="340"/>
        <w:jc w:val="center"/>
        <w:rPr>
          <w:lang w:eastAsia="el-GR"/>
        </w:rPr>
      </w:pPr>
      <w:r>
        <w:rPr>
          <w:lang w:eastAsia="el-GR"/>
        </w:rPr>
        <w:t>α) Η μπάλα Α,  β) Η μπάλα Β,  γ) Έχουν ίσες κινητικές ενέργειες.</w:t>
      </w:r>
    </w:p>
    <w:p w:rsidR="00021E2B" w:rsidRDefault="00021E2B" w:rsidP="00021E2B">
      <w:pPr>
        <w:ind w:left="567" w:hanging="340"/>
        <w:rPr>
          <w:lang w:eastAsia="el-GR"/>
        </w:rPr>
      </w:pPr>
      <w:r>
        <w:rPr>
          <w:lang w:eastAsia="el-GR"/>
        </w:rPr>
        <w:t>iv) Μεγαλύτερο ρυθμό μεταβολής της κινητικής ενέργειας έχει:</w:t>
      </w:r>
    </w:p>
    <w:p w:rsidR="00021E2B" w:rsidRDefault="00021E2B" w:rsidP="00021E2B">
      <w:pPr>
        <w:ind w:left="567" w:hanging="340"/>
        <w:jc w:val="center"/>
        <w:rPr>
          <w:lang w:eastAsia="el-GR"/>
        </w:rPr>
      </w:pPr>
      <w:r>
        <w:rPr>
          <w:lang w:eastAsia="el-GR"/>
        </w:rPr>
        <w:t>α) Η μπάλα Α,  β) Η μπάλα Β,  γ) Έχουν ίσ</w:t>
      </w:r>
      <w:r w:rsidR="00567435">
        <w:rPr>
          <w:lang w:eastAsia="el-GR"/>
        </w:rPr>
        <w:t>ους ρυθμούς μεταβολής</w:t>
      </w:r>
      <w:r>
        <w:rPr>
          <w:lang w:eastAsia="el-GR"/>
        </w:rPr>
        <w:t>.</w:t>
      </w:r>
    </w:p>
    <w:p w:rsidR="00C21AA0" w:rsidRDefault="00C21AA0" w:rsidP="009C6930">
      <w:pPr>
        <w:rPr>
          <w:lang w:eastAsia="el-GR"/>
        </w:rPr>
      </w:pPr>
      <w:r>
        <w:rPr>
          <w:lang w:eastAsia="el-GR"/>
        </w:rPr>
        <w:t>Να δικαιολογήσετε τις απαντήσεις σας.</w:t>
      </w:r>
    </w:p>
    <w:p w:rsidR="00A119EE" w:rsidRPr="00A85704" w:rsidRDefault="00C21AA0" w:rsidP="00A85704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A85704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A119EE" w:rsidRDefault="00A119EE" w:rsidP="000C4DCE">
      <w:pPr>
        <w:spacing w:after="120"/>
        <w:rPr>
          <w:lang w:eastAsia="el-GR"/>
        </w:rPr>
      </w:pPr>
      <w:r>
        <w:rPr>
          <w:lang w:eastAsia="el-GR"/>
        </w:rPr>
        <w:t>Θεωρούμε το σύστημα αξόνων x,y για την Α μπάλα και το σύστημα x</w:t>
      </w:r>
      <w:r w:rsidR="00C63D5E">
        <w:rPr>
          <w:lang w:eastAsia="el-GR"/>
        </w:rPr>
        <w:t>΄</w:t>
      </w:r>
      <w:r>
        <w:rPr>
          <w:lang w:eastAsia="el-GR"/>
        </w:rPr>
        <w:t xml:space="preserve">, y΄για την Β, όπως στο </w:t>
      </w:r>
      <w:r w:rsidR="00AB2E57">
        <w:rPr>
          <w:lang w:eastAsia="el-GR"/>
        </w:rPr>
        <w:t>παρακάτω</w:t>
      </w:r>
      <w:r>
        <w:rPr>
          <w:lang w:eastAsia="el-GR"/>
        </w:rPr>
        <w:t xml:space="preserve"> σχήμα και θεωρώντας τις δυο κινήσεις σύνθετες, αποτελούμενες από μια ευθύγραμμη ομαλή στην οριζόντια διεύθυνση και μια ελεύθερη πτώση στην κατακόρυφη, έχουμε τις εξισώσεις:</w:t>
      </w:r>
    </w:p>
    <w:tbl>
      <w:tblPr>
        <w:tblW w:w="0" w:type="auto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  <w:gridCol w:w="1596"/>
        <w:gridCol w:w="1701"/>
        <w:gridCol w:w="1560"/>
      </w:tblGrid>
      <w:tr w:rsidR="00A119EE" w:rsidTr="00AB2E57">
        <w:trPr>
          <w:trHeight w:val="252"/>
          <w:jc w:val="center"/>
        </w:trPr>
        <w:tc>
          <w:tcPr>
            <w:tcW w:w="3225" w:type="dxa"/>
            <w:gridSpan w:val="2"/>
            <w:shd w:val="clear" w:color="auto" w:fill="FFFF00"/>
          </w:tcPr>
          <w:p w:rsidR="00A119EE" w:rsidRDefault="00A119EE" w:rsidP="00691B08">
            <w:pPr>
              <w:jc w:val="center"/>
            </w:pPr>
            <w:r>
              <w:t>μπάλα Α</w:t>
            </w:r>
          </w:p>
        </w:tc>
        <w:tc>
          <w:tcPr>
            <w:tcW w:w="3261" w:type="dxa"/>
            <w:gridSpan w:val="2"/>
            <w:shd w:val="clear" w:color="auto" w:fill="8DB3E2" w:themeFill="text2" w:themeFillTint="66"/>
          </w:tcPr>
          <w:p w:rsidR="00A119EE" w:rsidRDefault="00A119EE" w:rsidP="00691B08">
            <w:pPr>
              <w:jc w:val="center"/>
            </w:pPr>
            <w:r>
              <w:t>μπάλα Β</w:t>
            </w:r>
          </w:p>
        </w:tc>
      </w:tr>
      <w:tr w:rsidR="00A119EE" w:rsidTr="00AB2E57">
        <w:trPr>
          <w:trHeight w:val="358"/>
          <w:jc w:val="center"/>
        </w:trPr>
        <w:tc>
          <w:tcPr>
            <w:tcW w:w="1629" w:type="dxa"/>
            <w:shd w:val="clear" w:color="auto" w:fill="C6D9F1" w:themeFill="text2" w:themeFillTint="33"/>
          </w:tcPr>
          <w:p w:rsidR="00A119EE" w:rsidRDefault="00A119EE" w:rsidP="000C4DCE">
            <w:pPr>
              <w:spacing w:before="120"/>
              <w:jc w:val="center"/>
            </w:pPr>
            <w:r>
              <w:t>Άξονας x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A119EE" w:rsidRDefault="00A119EE" w:rsidP="000C4DCE">
            <w:pPr>
              <w:spacing w:before="120"/>
              <w:jc w:val="center"/>
            </w:pPr>
            <w:r>
              <w:t>Άξονας y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119EE" w:rsidRDefault="00A119EE" w:rsidP="000C4DCE">
            <w:pPr>
              <w:spacing w:before="120"/>
              <w:jc w:val="center"/>
            </w:pPr>
            <w:r>
              <w:t>Άξονας x</w:t>
            </w:r>
            <w:r w:rsidR="00C63D5E">
              <w:t>΄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119EE" w:rsidRDefault="00A119EE" w:rsidP="000C4DCE">
            <w:pPr>
              <w:spacing w:before="120"/>
              <w:jc w:val="center"/>
            </w:pPr>
            <w:r>
              <w:t>Άξονας y΄</w:t>
            </w:r>
          </w:p>
        </w:tc>
      </w:tr>
      <w:tr w:rsidR="00A119EE" w:rsidTr="00AB2E57">
        <w:trPr>
          <w:trHeight w:val="358"/>
          <w:jc w:val="center"/>
        </w:trPr>
        <w:tc>
          <w:tcPr>
            <w:tcW w:w="1629" w:type="dxa"/>
            <w:shd w:val="clear" w:color="auto" w:fill="C6D9F1" w:themeFill="text2" w:themeFillTint="33"/>
          </w:tcPr>
          <w:p w:rsidR="00A119EE" w:rsidRPr="00BA7DE8" w:rsidRDefault="00A119EE" w:rsidP="00691B08">
            <w:pPr>
              <w:spacing w:before="120"/>
            </w:pPr>
            <w:r w:rsidRPr="00C00887">
              <w:t>υ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  <w:lang w:val="en-US"/>
              </w:rPr>
              <w:t>x</w:t>
            </w:r>
            <w:r>
              <w:t>=υ</w:t>
            </w:r>
            <w:r>
              <w:rPr>
                <w:vertAlign w:val="subscript"/>
              </w:rPr>
              <w:t>ο</w:t>
            </w:r>
            <w:r>
              <w:t xml:space="preserve">   (1)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A119EE" w:rsidRPr="00BA7DE8" w:rsidRDefault="00A119EE" w:rsidP="00691B08">
            <w:pPr>
              <w:spacing w:before="120"/>
            </w:pPr>
            <w:r>
              <w:t>υ</w:t>
            </w:r>
            <w:r>
              <w:rPr>
                <w:vertAlign w:val="subscript"/>
                <w:lang w:val="en-US"/>
              </w:rPr>
              <w:t>1y</w:t>
            </w:r>
            <w:r>
              <w:t xml:space="preserve">=gt     </w:t>
            </w:r>
            <w:r>
              <w:rPr>
                <w:lang w:val="en-US"/>
              </w:rPr>
              <w:t xml:space="preserve"> </w:t>
            </w:r>
            <w:r>
              <w:t>(3)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119EE" w:rsidRPr="00BA7DE8" w:rsidRDefault="00A119EE" w:rsidP="00691B08">
            <w:pPr>
              <w:spacing w:before="120"/>
            </w:pPr>
            <w:r w:rsidRPr="00C00887">
              <w:t>υ</w:t>
            </w:r>
            <w:r>
              <w:rPr>
                <w:vertAlign w:val="subscript"/>
                <w:lang w:val="en-US"/>
              </w:rPr>
              <w:t>2x</w:t>
            </w:r>
            <w:r>
              <w:t>=2υ</w:t>
            </w:r>
            <w:r>
              <w:rPr>
                <w:vertAlign w:val="subscript"/>
              </w:rPr>
              <w:t>ο</w:t>
            </w:r>
            <w:r>
              <w:t xml:space="preserve">    (5)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119EE" w:rsidRPr="00BA7DE8" w:rsidRDefault="00A119EE" w:rsidP="00691B08">
            <w:pPr>
              <w:spacing w:before="120"/>
            </w:pPr>
            <w:r>
              <w:t>υ</w:t>
            </w:r>
            <w:r>
              <w:rPr>
                <w:vertAlign w:val="subscript"/>
                <w:lang w:val="en-US"/>
              </w:rPr>
              <w:t>2y</w:t>
            </w:r>
            <w:r>
              <w:t>=gt       (7)</w:t>
            </w:r>
          </w:p>
        </w:tc>
      </w:tr>
      <w:tr w:rsidR="00A119EE" w:rsidTr="00AB2E57">
        <w:trPr>
          <w:trHeight w:val="399"/>
          <w:jc w:val="center"/>
        </w:trPr>
        <w:tc>
          <w:tcPr>
            <w:tcW w:w="1629" w:type="dxa"/>
            <w:shd w:val="clear" w:color="auto" w:fill="C6D9F1" w:themeFill="text2" w:themeFillTint="33"/>
          </w:tcPr>
          <w:p w:rsidR="00A119EE" w:rsidRPr="00C00887" w:rsidRDefault="00A119EE" w:rsidP="00A119EE">
            <w:pPr>
              <w:spacing w:before="120"/>
            </w:pPr>
            <w:r w:rsidRPr="005137B2">
              <w:rPr>
                <w:lang w:val="en-US"/>
              </w:rPr>
              <w:t>x</w:t>
            </w:r>
            <w:r>
              <w:t>=υ</w:t>
            </w:r>
            <w:r>
              <w:rPr>
                <w:vertAlign w:val="subscript"/>
              </w:rPr>
              <w:t>ο</w:t>
            </w:r>
            <w:r>
              <w:t>t   (2)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A119EE" w:rsidRDefault="00A119EE" w:rsidP="00691B08">
            <w:pPr>
              <w:spacing w:before="120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  <w:r>
              <w:t>=½ gt</w:t>
            </w:r>
            <w:r>
              <w:rPr>
                <w:vertAlign w:val="superscript"/>
              </w:rPr>
              <w:t>2</w:t>
            </w:r>
            <w:r>
              <w:t xml:space="preserve">   (4)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119EE" w:rsidRPr="00C00887" w:rsidRDefault="00A119EE" w:rsidP="00A119EE">
            <w:pPr>
              <w:spacing w:before="120"/>
            </w:pPr>
            <w:r>
              <w:rPr>
                <w:lang w:val="en-US"/>
              </w:rPr>
              <w:t>x</w:t>
            </w:r>
            <w:r w:rsidRPr="00223937">
              <w:rPr>
                <w:vertAlign w:val="subscript"/>
                <w:lang w:val="en-US"/>
              </w:rPr>
              <w:t>2</w:t>
            </w:r>
            <w:r>
              <w:t>=2υ</w:t>
            </w:r>
            <w:r>
              <w:rPr>
                <w:vertAlign w:val="subscript"/>
              </w:rPr>
              <w:t>ο</w:t>
            </w:r>
            <w:r>
              <w:t>t     (6)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119EE" w:rsidRDefault="00A119EE" w:rsidP="00691B08">
            <w:pPr>
              <w:spacing w:before="120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>=½ gt</w:t>
            </w:r>
            <w:r>
              <w:rPr>
                <w:vertAlign w:val="superscript"/>
              </w:rPr>
              <w:t>2</w:t>
            </w:r>
            <w:r>
              <w:t xml:space="preserve">   (8)</w:t>
            </w:r>
          </w:p>
        </w:tc>
      </w:tr>
    </w:tbl>
    <w:p w:rsidR="00A119EE" w:rsidRDefault="00021E2B" w:rsidP="000C4DCE">
      <w:pPr>
        <w:spacing w:before="240"/>
        <w:rPr>
          <w:lang w:eastAsia="el-GR"/>
        </w:rPr>
      </w:pPr>
      <w:r>
        <w:rPr>
          <w:lang w:eastAsia="el-GR"/>
        </w:rPr>
        <w:t>Από τις εξισώσεις (4) και (8) προκύπτει ότι κάθε στιγμή</w:t>
      </w:r>
      <w:r w:rsidR="00114DD8">
        <w:rPr>
          <w:lang w:eastAsia="el-GR"/>
        </w:rPr>
        <w:t>,</w:t>
      </w:r>
      <w:r>
        <w:rPr>
          <w:lang w:eastAsia="el-GR"/>
        </w:rPr>
        <w:t xml:space="preserve"> οι δυο μπάλες διανύουν ίσες αποστάσεις στην κ</w:t>
      </w:r>
      <w:r>
        <w:rPr>
          <w:lang w:eastAsia="el-GR"/>
        </w:rPr>
        <w:t>α</w:t>
      </w:r>
      <w:r>
        <w:rPr>
          <w:lang w:eastAsia="el-GR"/>
        </w:rPr>
        <w:t xml:space="preserve">τακόρυφη διεύθυνση, </w:t>
      </w:r>
      <w:r w:rsidR="000C7A1E">
        <w:rPr>
          <w:lang w:eastAsia="el-GR"/>
        </w:rPr>
        <w:t>ευρισκόμενες στο ίδιο οριζόντιο επίπεδο, όπως στο παρακάτω σχ</w:t>
      </w:r>
      <w:r w:rsidR="009021C7">
        <w:rPr>
          <w:lang w:eastAsia="el-GR"/>
        </w:rPr>
        <w:t>ήμα, ενώ έχουν απ</w:t>
      </w:r>
      <w:r w:rsidR="009021C7">
        <w:rPr>
          <w:lang w:eastAsia="el-GR"/>
        </w:rPr>
        <w:t>ο</w:t>
      </w:r>
      <w:r w:rsidR="009021C7">
        <w:rPr>
          <w:lang w:eastAsia="el-GR"/>
        </w:rPr>
        <w:t>κτήσει και ίσες συνιστώσες ταχύτητας υ</w:t>
      </w:r>
      <w:r w:rsidR="009021C7">
        <w:rPr>
          <w:vertAlign w:val="subscript"/>
          <w:lang w:eastAsia="el-GR"/>
        </w:rPr>
        <w:t>y</w:t>
      </w:r>
      <w:r w:rsidR="009021C7">
        <w:rPr>
          <w:lang w:eastAsia="el-GR"/>
        </w:rPr>
        <w:t>, όπως δείχνουν οι εξισώσεις (3) και (7).</w:t>
      </w:r>
    </w:p>
    <w:p w:rsidR="009021C7" w:rsidRDefault="00DA4D0D" w:rsidP="00114DD8">
      <w:pPr>
        <w:jc w:val="center"/>
      </w:pPr>
      <w:r>
        <w:object w:dxaOrig="5828" w:dyaOrig="2926">
          <v:shape id="_x0000_i1026" type="#_x0000_t75" style="width:291.3pt;height:146.5pt" o:ole="" filled="t" fillcolor="#c6d9f1 [671]">
            <v:fill color2="fill lighten(51)" focusposition="1" focussize="" method="linear sigma" type="gradient"/>
            <v:imagedata r:id="rId9" o:title=""/>
          </v:shape>
          <o:OLEObject Type="Embed" ProgID="Visio.Drawing.11" ShapeID="_x0000_i1026" DrawAspect="Content" ObjectID="_1472449725" r:id="rId10"/>
        </w:object>
      </w:r>
    </w:p>
    <w:tbl>
      <w:tblPr>
        <w:tblpPr w:leftFromText="180" w:rightFromText="180" w:vertAnchor="text" w:tblpXSpec="right" w:tblpY="1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9"/>
      </w:tblGrid>
      <w:tr w:rsidR="001A050F" w:rsidTr="001A050F">
        <w:trPr>
          <w:trHeight w:val="1647"/>
          <w:jc w:val="righ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A050F" w:rsidRDefault="001A050F" w:rsidP="001A050F">
            <w:pPr>
              <w:pStyle w:val="1"/>
              <w:numPr>
                <w:ilvl w:val="0"/>
                <w:numId w:val="0"/>
              </w:numPr>
            </w:pPr>
            <w:r>
              <w:object w:dxaOrig="1914" w:dyaOrig="1857">
                <v:shape id="_x0000_i1027" type="#_x0000_t75" style="width:95.6pt;height:92.7pt" o:ole="" filled="t" fillcolor="#c6d9f1 [671]">
                  <v:fill color2="fill lighten(51)" focusposition="1" focussize="" method="linear sigma" type="gradient"/>
                  <v:imagedata r:id="rId11" o:title=""/>
                </v:shape>
                <o:OLEObject Type="Embed" ProgID="Visio.Drawing.11" ShapeID="_x0000_i1027" DrawAspect="Content" ObjectID="_1472449726" r:id="rId12"/>
              </w:object>
            </w:r>
          </w:p>
        </w:tc>
      </w:tr>
    </w:tbl>
    <w:p w:rsidR="00114DD8" w:rsidRDefault="00DA4D0D" w:rsidP="00DA4D0D">
      <w:pPr>
        <w:pStyle w:val="1"/>
      </w:pPr>
      <w:r>
        <w:t>Αλλά τότε</w:t>
      </w:r>
      <w:r w:rsidR="001A050F">
        <w:t xml:space="preserve"> οι δυο μπάλες απέχουν</w:t>
      </w:r>
      <w:r>
        <w:t xml:space="preserve"> απόσταση d, κάθε στιγμή ίση</w:t>
      </w:r>
      <w:r w:rsidR="001A050F">
        <w:t xml:space="preserve"> με</w:t>
      </w:r>
      <w:r>
        <w:t>:</w:t>
      </w:r>
    </w:p>
    <w:p w:rsidR="00DA4D0D" w:rsidRPr="00677631" w:rsidRDefault="00DA4D0D" w:rsidP="00DA4D0D">
      <w:pPr>
        <w:jc w:val="center"/>
        <w:rPr>
          <w:i/>
          <w:sz w:val="24"/>
          <w:szCs w:val="24"/>
        </w:rPr>
      </w:pPr>
      <w:r w:rsidRPr="00677631">
        <w:rPr>
          <w:i/>
          <w:sz w:val="24"/>
          <w:szCs w:val="24"/>
        </w:rPr>
        <w:t>d=D-x</w:t>
      </w:r>
      <w:r w:rsidRPr="00677631">
        <w:rPr>
          <w:i/>
          <w:sz w:val="24"/>
          <w:szCs w:val="24"/>
          <w:vertAlign w:val="subscript"/>
        </w:rPr>
        <w:t>1</w:t>
      </w:r>
      <w:r w:rsidRPr="00677631">
        <w:rPr>
          <w:i/>
          <w:sz w:val="24"/>
          <w:szCs w:val="24"/>
        </w:rPr>
        <w:t>+x</w:t>
      </w:r>
      <w:r w:rsidRPr="00677631">
        <w:rPr>
          <w:i/>
          <w:sz w:val="24"/>
          <w:szCs w:val="24"/>
          <w:vertAlign w:val="subscript"/>
        </w:rPr>
        <w:t>2</w:t>
      </w:r>
    </w:p>
    <w:p w:rsidR="00DA4D0D" w:rsidRDefault="00DA4D0D" w:rsidP="00677631">
      <w:pPr>
        <w:ind w:left="425"/>
      </w:pPr>
      <w:r>
        <w:t>όπου D η απόσταση μεταξύ των δύο σημείων εκτόξευσης, οπότε:</w:t>
      </w:r>
    </w:p>
    <w:p w:rsidR="00DA4D0D" w:rsidRPr="00677631" w:rsidRDefault="00DA4D0D" w:rsidP="00DA4D0D">
      <w:pPr>
        <w:jc w:val="center"/>
        <w:rPr>
          <w:i/>
          <w:sz w:val="24"/>
          <w:szCs w:val="24"/>
        </w:rPr>
      </w:pPr>
      <w:r w:rsidRPr="00677631">
        <w:rPr>
          <w:i/>
          <w:sz w:val="24"/>
          <w:szCs w:val="24"/>
        </w:rPr>
        <w:t>d=D-υ</w:t>
      </w:r>
      <w:r w:rsidRPr="00677631">
        <w:rPr>
          <w:i/>
          <w:sz w:val="24"/>
          <w:szCs w:val="24"/>
          <w:vertAlign w:val="subscript"/>
        </w:rPr>
        <w:t>0</w:t>
      </w:r>
      <w:r w:rsidRPr="00677631">
        <w:rPr>
          <w:i/>
          <w:sz w:val="24"/>
          <w:szCs w:val="24"/>
        </w:rPr>
        <w:t>∙t+2υ</w:t>
      </w:r>
      <w:r w:rsidRPr="00677631">
        <w:rPr>
          <w:i/>
          <w:sz w:val="24"/>
          <w:szCs w:val="24"/>
          <w:vertAlign w:val="subscript"/>
        </w:rPr>
        <w:t>0</w:t>
      </w:r>
      <w:r w:rsidRPr="00677631">
        <w:rPr>
          <w:i/>
          <w:sz w:val="24"/>
          <w:szCs w:val="24"/>
        </w:rPr>
        <w:t>∙t=D+υ</w:t>
      </w:r>
      <w:r w:rsidRPr="00677631">
        <w:rPr>
          <w:i/>
          <w:sz w:val="24"/>
          <w:szCs w:val="24"/>
          <w:vertAlign w:val="subscript"/>
        </w:rPr>
        <w:t>0</w:t>
      </w:r>
      <w:r w:rsidRPr="00677631">
        <w:rPr>
          <w:i/>
          <w:sz w:val="24"/>
          <w:szCs w:val="24"/>
        </w:rPr>
        <w:t>∙t</w:t>
      </w:r>
    </w:p>
    <w:p w:rsidR="00DA4D0D" w:rsidRPr="00DA4D0D" w:rsidRDefault="00DA4D0D" w:rsidP="00677631">
      <w:pPr>
        <w:ind w:left="425"/>
      </w:pPr>
      <w:r>
        <w:t xml:space="preserve">Η παραπάνω σχέση δείχνει ότι η απόσταση μεταξύ τους, αυξάνεται γραμμικά με το χρόνο, χωρίς να είναι όμως ανάλογη του χρόνου. </w:t>
      </w:r>
      <w:r w:rsidR="00677631">
        <w:t>Σωστή η δ) πρόταση.</w:t>
      </w:r>
    </w:p>
    <w:p w:rsidR="00DA4D0D" w:rsidRDefault="00581009" w:rsidP="00581009">
      <w:pPr>
        <w:pStyle w:val="1"/>
      </w:pPr>
      <w:r>
        <w:t>Αν οι μπάλες εκτοξεύονται από ύψος Η, τότε μετά από χρόνο t έχουν δυναμική ενέργεια:</w:t>
      </w:r>
    </w:p>
    <w:p w:rsidR="00581009" w:rsidRDefault="00581009" w:rsidP="00581009">
      <w:pPr>
        <w:jc w:val="center"/>
      </w:pPr>
      <w:r w:rsidRPr="00581009">
        <w:rPr>
          <w:position w:val="-28"/>
        </w:rPr>
        <w:object w:dxaOrig="3920" w:dyaOrig="680">
          <v:shape id="_x0000_i1028" type="#_x0000_t75" style="width:196.15pt;height:33.95pt" o:ole="">
            <v:imagedata r:id="rId13" o:title=""/>
          </v:shape>
          <o:OLEObject Type="Embed" ProgID="Equation.3" ShapeID="_x0000_i1028" DrawAspect="Content" ObjectID="_1472449727" r:id="rId14"/>
        </w:object>
      </w:r>
    </w:p>
    <w:p w:rsidR="00581009" w:rsidRDefault="00581009" w:rsidP="00581009">
      <w:pPr>
        <w:ind w:left="425"/>
      </w:pPr>
      <w:r>
        <w:t>Σωστή η γ) πρόταση.</w:t>
      </w:r>
    </w:p>
    <w:p w:rsidR="00581009" w:rsidRDefault="00581009" w:rsidP="00581009">
      <w:pPr>
        <w:pStyle w:val="1"/>
      </w:pPr>
      <w:r>
        <w:t>Η κινητική ενέργεια της Α μπάλας είναι:</w:t>
      </w:r>
    </w:p>
    <w:p w:rsidR="00581009" w:rsidRDefault="00581009" w:rsidP="00734304">
      <w:pPr>
        <w:jc w:val="center"/>
      </w:pPr>
      <w:r w:rsidRPr="00581009">
        <w:rPr>
          <w:position w:val="-24"/>
        </w:rPr>
        <w:object w:dxaOrig="4280" w:dyaOrig="620">
          <v:shape id="_x0000_i1029" type="#_x0000_t75" style="width:213.95pt;height:31.05pt" o:ole="">
            <v:imagedata r:id="rId15" o:title=""/>
          </v:shape>
          <o:OLEObject Type="Embed" ProgID="Equation.3" ShapeID="_x0000_i1029" DrawAspect="Content" ObjectID="_1472449728" r:id="rId16"/>
        </w:object>
      </w:r>
    </w:p>
    <w:p w:rsidR="00581009" w:rsidRDefault="00872192" w:rsidP="00734304">
      <w:pPr>
        <w:ind w:left="425"/>
      </w:pPr>
      <w:r>
        <w:t>Ενώ αντίστοιχα της Β:</w:t>
      </w:r>
    </w:p>
    <w:p w:rsidR="00872192" w:rsidRDefault="00734304" w:rsidP="00734304">
      <w:pPr>
        <w:jc w:val="center"/>
      </w:pPr>
      <w:r w:rsidRPr="00581009">
        <w:rPr>
          <w:position w:val="-24"/>
        </w:rPr>
        <w:object w:dxaOrig="4440" w:dyaOrig="620">
          <v:shape id="_x0000_i1030" type="#_x0000_t75" style="width:222.2pt;height:31.05pt" o:ole="">
            <v:imagedata r:id="rId17" o:title=""/>
          </v:shape>
          <o:OLEObject Type="Embed" ProgID="Equation.3" ShapeID="_x0000_i1030" DrawAspect="Content" ObjectID="_1472449729" r:id="rId18"/>
        </w:object>
      </w:r>
    </w:p>
    <w:p w:rsidR="00734304" w:rsidRPr="00DA4D0D" w:rsidRDefault="00734304" w:rsidP="00734304">
      <w:pPr>
        <w:ind w:left="425"/>
      </w:pPr>
      <w:r>
        <w:t xml:space="preserve">Συνεπώς </w:t>
      </w:r>
      <w:r w:rsidRPr="00734304">
        <w:rPr>
          <w:position w:val="-10"/>
        </w:rPr>
        <w:object w:dxaOrig="840" w:dyaOrig="340">
          <v:shape id="_x0000_i1031" type="#_x0000_t75" style="width:42.2pt;height:16.95pt" o:ole="">
            <v:imagedata r:id="rId19" o:title=""/>
          </v:shape>
          <o:OLEObject Type="Embed" ProgID="Equation.3" ShapeID="_x0000_i1031" DrawAspect="Content" ObjectID="_1472449730" r:id="rId20"/>
        </w:object>
      </w:r>
      <w:r>
        <w:t xml:space="preserve"> και σωστή η β) πρόταση.</w:t>
      </w:r>
    </w:p>
    <w:p w:rsidR="00C21AA0" w:rsidRDefault="007B4D67" w:rsidP="007B4D67">
      <w:pPr>
        <w:pStyle w:val="1"/>
      </w:pPr>
      <w:r>
        <w:t>Για το ρυθμό μεταβολής της κινητικής ενέργειας και με τη βοήθεια του θεωρήματος μεταβολής της κ</w:t>
      </w:r>
      <w:r>
        <w:t>ι</w:t>
      </w:r>
      <w:r>
        <w:t>νητικής ενέργειας, έχουμε:</w:t>
      </w:r>
    </w:p>
    <w:p w:rsidR="009C6930" w:rsidRDefault="007B4D67" w:rsidP="00ED624F">
      <w:pPr>
        <w:jc w:val="center"/>
        <w:rPr>
          <w:lang w:eastAsia="el-GR"/>
        </w:rPr>
      </w:pPr>
      <w:r w:rsidRPr="007B4D67">
        <w:rPr>
          <w:position w:val="-24"/>
          <w:lang w:eastAsia="el-GR"/>
        </w:rPr>
        <w:object w:dxaOrig="5800" w:dyaOrig="639">
          <v:shape id="_x0000_i1032" type="#_x0000_t75" style="width:290.05pt;height:31.85pt" o:ole="">
            <v:imagedata r:id="rId21" o:title=""/>
          </v:shape>
          <o:OLEObject Type="Embed" ProgID="Equation.3" ShapeID="_x0000_i1032" DrawAspect="Content" ObjectID="_1472449731" r:id="rId22"/>
        </w:object>
      </w:r>
    </w:p>
    <w:p w:rsidR="00ED624F" w:rsidRDefault="00ED624F" w:rsidP="00ED624F">
      <w:pPr>
        <w:ind w:left="425"/>
        <w:rPr>
          <w:lang w:eastAsia="el-GR"/>
        </w:rPr>
      </w:pPr>
      <w:r>
        <w:rPr>
          <w:lang w:eastAsia="el-GR"/>
        </w:rPr>
        <w:t>Συνεπώς οι δυο ρυθμοί μεταβολής της κινητικής ενέργειας είναι ίσοι και σωστή είναι η γ) πρόταση.</w:t>
      </w:r>
    </w:p>
    <w:p w:rsidR="001A050F" w:rsidRDefault="001A050F" w:rsidP="0055299A">
      <w:pPr>
        <w:jc w:val="right"/>
        <w:rPr>
          <w:b/>
          <w:color w:val="0000FF"/>
        </w:rPr>
      </w:pPr>
    </w:p>
    <w:p w:rsidR="007C596B" w:rsidRPr="009E3BAC" w:rsidRDefault="007C596B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9C6930" w:rsidRPr="009C6930" w:rsidRDefault="009C6930" w:rsidP="00F115C2">
      <w:pPr>
        <w:rPr>
          <w:lang w:eastAsia="el-GR"/>
        </w:rPr>
      </w:pPr>
    </w:p>
    <w:sectPr w:rsidR="009C6930" w:rsidRPr="009C6930" w:rsidSect="00DE126D">
      <w:headerReference w:type="default" r:id="rId23"/>
      <w:footerReference w:type="default" r:id="rId2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65" w:rsidRDefault="00015B65" w:rsidP="00AE4FC3">
      <w:pPr>
        <w:spacing w:line="240" w:lineRule="auto"/>
      </w:pPr>
      <w:r>
        <w:separator/>
      </w:r>
    </w:p>
  </w:endnote>
  <w:endnote w:type="continuationSeparator" w:id="1">
    <w:p w:rsidR="00015B65" w:rsidRDefault="00015B65" w:rsidP="00AE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B1" w:rsidRDefault="00377A64" w:rsidP="00AE4F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4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07CE">
      <w:rPr>
        <w:rStyle w:val="a8"/>
        <w:noProof/>
      </w:rPr>
      <w:t>1</w:t>
    </w:r>
    <w:r>
      <w:rPr>
        <w:rStyle w:val="a8"/>
      </w:rPr>
      <w:fldChar w:fldCharType="end"/>
    </w:r>
  </w:p>
  <w:p w:rsidR="00F724B1" w:rsidRPr="00D56705" w:rsidRDefault="00F724B1" w:rsidP="00C44B19">
    <w:pPr>
      <w:pStyle w:val="a7"/>
      <w:pBdr>
        <w:top w:val="single" w:sz="4" w:space="1" w:color="auto"/>
      </w:pBdr>
      <w:tabs>
        <w:tab w:val="clear" w:pos="4153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F724B1" w:rsidRDefault="00F724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65" w:rsidRDefault="00015B65" w:rsidP="00AE4FC3">
      <w:pPr>
        <w:spacing w:line="240" w:lineRule="auto"/>
      </w:pPr>
      <w:r>
        <w:separator/>
      </w:r>
    </w:p>
  </w:footnote>
  <w:footnote w:type="continuationSeparator" w:id="1">
    <w:p w:rsidR="00015B65" w:rsidRDefault="00015B65" w:rsidP="00AE4F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B1" w:rsidRPr="00C2122C" w:rsidRDefault="00F724B1" w:rsidP="00AE4FC3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C2122C">
      <w:rPr>
        <w:i/>
      </w:rPr>
      <w:t>Υλικό Φυσικής-Χημείας</w:t>
    </w:r>
    <w:r w:rsidRPr="00C2122C">
      <w:rPr>
        <w:i/>
      </w:rPr>
      <w:tab/>
      <w:t xml:space="preserve">  Οριζόντια βολή</w:t>
    </w:r>
  </w:p>
  <w:p w:rsidR="00F724B1" w:rsidRDefault="00F724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abc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C3"/>
    <w:rsid w:val="000020C9"/>
    <w:rsid w:val="00004034"/>
    <w:rsid w:val="0000405D"/>
    <w:rsid w:val="000048EE"/>
    <w:rsid w:val="00012740"/>
    <w:rsid w:val="00012A32"/>
    <w:rsid w:val="00015B65"/>
    <w:rsid w:val="00021E2B"/>
    <w:rsid w:val="00036E00"/>
    <w:rsid w:val="0004308B"/>
    <w:rsid w:val="00044C10"/>
    <w:rsid w:val="000462FD"/>
    <w:rsid w:val="000469F1"/>
    <w:rsid w:val="000524C0"/>
    <w:rsid w:val="00053199"/>
    <w:rsid w:val="000654ED"/>
    <w:rsid w:val="00073C64"/>
    <w:rsid w:val="00073F0D"/>
    <w:rsid w:val="00073F27"/>
    <w:rsid w:val="00077176"/>
    <w:rsid w:val="00083EB6"/>
    <w:rsid w:val="000847DF"/>
    <w:rsid w:val="000854E0"/>
    <w:rsid w:val="00086C88"/>
    <w:rsid w:val="0009255A"/>
    <w:rsid w:val="000A15AE"/>
    <w:rsid w:val="000A37DC"/>
    <w:rsid w:val="000C38F5"/>
    <w:rsid w:val="000C4DCE"/>
    <w:rsid w:val="000C7A1E"/>
    <w:rsid w:val="000D0D6C"/>
    <w:rsid w:val="000D39FD"/>
    <w:rsid w:val="000E0692"/>
    <w:rsid w:val="000E16DD"/>
    <w:rsid w:val="000E2B57"/>
    <w:rsid w:val="000E7C18"/>
    <w:rsid w:val="000F3F5C"/>
    <w:rsid w:val="000F73F6"/>
    <w:rsid w:val="00101418"/>
    <w:rsid w:val="00105EBF"/>
    <w:rsid w:val="00114DD8"/>
    <w:rsid w:val="0011554D"/>
    <w:rsid w:val="00115FAA"/>
    <w:rsid w:val="001201BF"/>
    <w:rsid w:val="001443DB"/>
    <w:rsid w:val="00156319"/>
    <w:rsid w:val="001563C3"/>
    <w:rsid w:val="00157291"/>
    <w:rsid w:val="0017048D"/>
    <w:rsid w:val="00172FBB"/>
    <w:rsid w:val="00176582"/>
    <w:rsid w:val="0018195A"/>
    <w:rsid w:val="00194290"/>
    <w:rsid w:val="001A019F"/>
    <w:rsid w:val="001A050F"/>
    <w:rsid w:val="001A0983"/>
    <w:rsid w:val="001C1C21"/>
    <w:rsid w:val="001C4A36"/>
    <w:rsid w:val="001C4DD0"/>
    <w:rsid w:val="001E1A73"/>
    <w:rsid w:val="001F0A5C"/>
    <w:rsid w:val="002000D3"/>
    <w:rsid w:val="00200E0E"/>
    <w:rsid w:val="00203218"/>
    <w:rsid w:val="0021245B"/>
    <w:rsid w:val="00223937"/>
    <w:rsid w:val="00246577"/>
    <w:rsid w:val="002620C3"/>
    <w:rsid w:val="00274EC7"/>
    <w:rsid w:val="002849D0"/>
    <w:rsid w:val="00291BF3"/>
    <w:rsid w:val="002932F8"/>
    <w:rsid w:val="002B18DD"/>
    <w:rsid w:val="002B59B2"/>
    <w:rsid w:val="002C36A6"/>
    <w:rsid w:val="002D318F"/>
    <w:rsid w:val="002D64DD"/>
    <w:rsid w:val="002E4441"/>
    <w:rsid w:val="002F77C7"/>
    <w:rsid w:val="00301281"/>
    <w:rsid w:val="003207D5"/>
    <w:rsid w:val="00323589"/>
    <w:rsid w:val="003254B5"/>
    <w:rsid w:val="00341904"/>
    <w:rsid w:val="003439A9"/>
    <w:rsid w:val="00343AE0"/>
    <w:rsid w:val="00354C19"/>
    <w:rsid w:val="00354F39"/>
    <w:rsid w:val="00360249"/>
    <w:rsid w:val="00363C9C"/>
    <w:rsid w:val="00367094"/>
    <w:rsid w:val="00377A64"/>
    <w:rsid w:val="00380F95"/>
    <w:rsid w:val="00381FE0"/>
    <w:rsid w:val="003835C4"/>
    <w:rsid w:val="00387A7B"/>
    <w:rsid w:val="0039048B"/>
    <w:rsid w:val="00393F9C"/>
    <w:rsid w:val="00394837"/>
    <w:rsid w:val="003A13AD"/>
    <w:rsid w:val="003B5435"/>
    <w:rsid w:val="003B755D"/>
    <w:rsid w:val="003C468B"/>
    <w:rsid w:val="003D7B21"/>
    <w:rsid w:val="003E1E45"/>
    <w:rsid w:val="003E244C"/>
    <w:rsid w:val="003E30C8"/>
    <w:rsid w:val="003F0157"/>
    <w:rsid w:val="003F0AC4"/>
    <w:rsid w:val="003F4D69"/>
    <w:rsid w:val="003F7616"/>
    <w:rsid w:val="00405375"/>
    <w:rsid w:val="0041288A"/>
    <w:rsid w:val="00415FEF"/>
    <w:rsid w:val="00421959"/>
    <w:rsid w:val="00422526"/>
    <w:rsid w:val="004252A2"/>
    <w:rsid w:val="00425846"/>
    <w:rsid w:val="004347CF"/>
    <w:rsid w:val="00440024"/>
    <w:rsid w:val="004400C8"/>
    <w:rsid w:val="0044377D"/>
    <w:rsid w:val="004437EC"/>
    <w:rsid w:val="00456416"/>
    <w:rsid w:val="004621F8"/>
    <w:rsid w:val="004665F5"/>
    <w:rsid w:val="004737A3"/>
    <w:rsid w:val="004873C4"/>
    <w:rsid w:val="00491550"/>
    <w:rsid w:val="004915A8"/>
    <w:rsid w:val="00494A3C"/>
    <w:rsid w:val="00495BFD"/>
    <w:rsid w:val="004A12E6"/>
    <w:rsid w:val="004A3EDF"/>
    <w:rsid w:val="004B553A"/>
    <w:rsid w:val="004B62BD"/>
    <w:rsid w:val="004C2BC9"/>
    <w:rsid w:val="004C47E2"/>
    <w:rsid w:val="004D1408"/>
    <w:rsid w:val="004D27A9"/>
    <w:rsid w:val="004D4A9B"/>
    <w:rsid w:val="004E0550"/>
    <w:rsid w:val="004F6068"/>
    <w:rsid w:val="004F74A1"/>
    <w:rsid w:val="0050468F"/>
    <w:rsid w:val="00505A32"/>
    <w:rsid w:val="00505FA4"/>
    <w:rsid w:val="005137B2"/>
    <w:rsid w:val="00524705"/>
    <w:rsid w:val="005457AB"/>
    <w:rsid w:val="005469A8"/>
    <w:rsid w:val="005540F0"/>
    <w:rsid w:val="005547B4"/>
    <w:rsid w:val="005651C0"/>
    <w:rsid w:val="00567435"/>
    <w:rsid w:val="005746A0"/>
    <w:rsid w:val="00580059"/>
    <w:rsid w:val="00580C22"/>
    <w:rsid w:val="00580FBA"/>
    <w:rsid w:val="00581009"/>
    <w:rsid w:val="005834AB"/>
    <w:rsid w:val="00586A5A"/>
    <w:rsid w:val="00594DE5"/>
    <w:rsid w:val="005956B7"/>
    <w:rsid w:val="005A0C36"/>
    <w:rsid w:val="005B57EB"/>
    <w:rsid w:val="005B5C72"/>
    <w:rsid w:val="005C4B3E"/>
    <w:rsid w:val="005D3D15"/>
    <w:rsid w:val="005D6504"/>
    <w:rsid w:val="005E109A"/>
    <w:rsid w:val="005E170A"/>
    <w:rsid w:val="005F08A2"/>
    <w:rsid w:val="005F39B0"/>
    <w:rsid w:val="005F52CA"/>
    <w:rsid w:val="006005C2"/>
    <w:rsid w:val="00601AB6"/>
    <w:rsid w:val="00601E5B"/>
    <w:rsid w:val="006023BD"/>
    <w:rsid w:val="006028AF"/>
    <w:rsid w:val="006029A4"/>
    <w:rsid w:val="006058F7"/>
    <w:rsid w:val="00607923"/>
    <w:rsid w:val="00611BBC"/>
    <w:rsid w:val="006147BF"/>
    <w:rsid w:val="00615779"/>
    <w:rsid w:val="0062421E"/>
    <w:rsid w:val="00630990"/>
    <w:rsid w:val="00637912"/>
    <w:rsid w:val="0064038E"/>
    <w:rsid w:val="00642BD2"/>
    <w:rsid w:val="00644FDB"/>
    <w:rsid w:val="00650AB6"/>
    <w:rsid w:val="00660124"/>
    <w:rsid w:val="00660FE0"/>
    <w:rsid w:val="0066123A"/>
    <w:rsid w:val="00664AE6"/>
    <w:rsid w:val="00665D6F"/>
    <w:rsid w:val="00673689"/>
    <w:rsid w:val="00677631"/>
    <w:rsid w:val="006814CA"/>
    <w:rsid w:val="00686626"/>
    <w:rsid w:val="00691780"/>
    <w:rsid w:val="0069417D"/>
    <w:rsid w:val="006A7E24"/>
    <w:rsid w:val="006B0685"/>
    <w:rsid w:val="006B1DE0"/>
    <w:rsid w:val="006B5498"/>
    <w:rsid w:val="006C5216"/>
    <w:rsid w:val="006C5B41"/>
    <w:rsid w:val="006C6E7F"/>
    <w:rsid w:val="006D263C"/>
    <w:rsid w:val="006E1D78"/>
    <w:rsid w:val="006E6A2E"/>
    <w:rsid w:val="006F28CC"/>
    <w:rsid w:val="006F5B40"/>
    <w:rsid w:val="006F63A0"/>
    <w:rsid w:val="006F772B"/>
    <w:rsid w:val="007000CA"/>
    <w:rsid w:val="00706C93"/>
    <w:rsid w:val="0071340F"/>
    <w:rsid w:val="007171B8"/>
    <w:rsid w:val="007249DA"/>
    <w:rsid w:val="00726921"/>
    <w:rsid w:val="00734304"/>
    <w:rsid w:val="00735624"/>
    <w:rsid w:val="0074198A"/>
    <w:rsid w:val="00745F49"/>
    <w:rsid w:val="00747AFB"/>
    <w:rsid w:val="007532F3"/>
    <w:rsid w:val="00760D76"/>
    <w:rsid w:val="007632C8"/>
    <w:rsid w:val="00763C5F"/>
    <w:rsid w:val="00765649"/>
    <w:rsid w:val="007805AB"/>
    <w:rsid w:val="0078226B"/>
    <w:rsid w:val="00784759"/>
    <w:rsid w:val="007876EC"/>
    <w:rsid w:val="007A05C4"/>
    <w:rsid w:val="007A7663"/>
    <w:rsid w:val="007B2C6E"/>
    <w:rsid w:val="007B2FD2"/>
    <w:rsid w:val="007B4D67"/>
    <w:rsid w:val="007B5D13"/>
    <w:rsid w:val="007B5DBA"/>
    <w:rsid w:val="007C19C5"/>
    <w:rsid w:val="007C3843"/>
    <w:rsid w:val="007C596B"/>
    <w:rsid w:val="007D1242"/>
    <w:rsid w:val="007D29BD"/>
    <w:rsid w:val="007E0214"/>
    <w:rsid w:val="007E458C"/>
    <w:rsid w:val="007E6479"/>
    <w:rsid w:val="007F03DB"/>
    <w:rsid w:val="008035BB"/>
    <w:rsid w:val="008046FC"/>
    <w:rsid w:val="008059FA"/>
    <w:rsid w:val="00805B59"/>
    <w:rsid w:val="008121C3"/>
    <w:rsid w:val="00836AAE"/>
    <w:rsid w:val="00844EF0"/>
    <w:rsid w:val="008502A5"/>
    <w:rsid w:val="0085046C"/>
    <w:rsid w:val="0085658E"/>
    <w:rsid w:val="00861266"/>
    <w:rsid w:val="00863163"/>
    <w:rsid w:val="008664E8"/>
    <w:rsid w:val="00872192"/>
    <w:rsid w:val="00874B22"/>
    <w:rsid w:val="00881546"/>
    <w:rsid w:val="00881D07"/>
    <w:rsid w:val="00881E91"/>
    <w:rsid w:val="00893A1E"/>
    <w:rsid w:val="008C130F"/>
    <w:rsid w:val="008F13CF"/>
    <w:rsid w:val="008F3935"/>
    <w:rsid w:val="008F7C76"/>
    <w:rsid w:val="0090092A"/>
    <w:rsid w:val="009021C7"/>
    <w:rsid w:val="00906030"/>
    <w:rsid w:val="00907F46"/>
    <w:rsid w:val="00912148"/>
    <w:rsid w:val="0091568A"/>
    <w:rsid w:val="0091575F"/>
    <w:rsid w:val="00915B72"/>
    <w:rsid w:val="00916BA6"/>
    <w:rsid w:val="009217F2"/>
    <w:rsid w:val="00924103"/>
    <w:rsid w:val="00930164"/>
    <w:rsid w:val="009311D6"/>
    <w:rsid w:val="00942A00"/>
    <w:rsid w:val="0095142B"/>
    <w:rsid w:val="00956EB3"/>
    <w:rsid w:val="00960A34"/>
    <w:rsid w:val="009715B3"/>
    <w:rsid w:val="009729B0"/>
    <w:rsid w:val="00984750"/>
    <w:rsid w:val="00987AD4"/>
    <w:rsid w:val="009A560A"/>
    <w:rsid w:val="009B428D"/>
    <w:rsid w:val="009B7E4E"/>
    <w:rsid w:val="009C6930"/>
    <w:rsid w:val="009D2B72"/>
    <w:rsid w:val="009D36ED"/>
    <w:rsid w:val="009D6049"/>
    <w:rsid w:val="009D7943"/>
    <w:rsid w:val="009F12E9"/>
    <w:rsid w:val="009F2469"/>
    <w:rsid w:val="00A00292"/>
    <w:rsid w:val="00A00627"/>
    <w:rsid w:val="00A02812"/>
    <w:rsid w:val="00A05497"/>
    <w:rsid w:val="00A100D0"/>
    <w:rsid w:val="00A119EE"/>
    <w:rsid w:val="00A21151"/>
    <w:rsid w:val="00A30B6D"/>
    <w:rsid w:val="00A3174C"/>
    <w:rsid w:val="00A42F7D"/>
    <w:rsid w:val="00A46F02"/>
    <w:rsid w:val="00A47B4B"/>
    <w:rsid w:val="00A51DF4"/>
    <w:rsid w:val="00A528CE"/>
    <w:rsid w:val="00A543A3"/>
    <w:rsid w:val="00A56B3B"/>
    <w:rsid w:val="00A571FA"/>
    <w:rsid w:val="00A57BC5"/>
    <w:rsid w:val="00A606D7"/>
    <w:rsid w:val="00A618B7"/>
    <w:rsid w:val="00A706C9"/>
    <w:rsid w:val="00A807CE"/>
    <w:rsid w:val="00A823AB"/>
    <w:rsid w:val="00A82AC4"/>
    <w:rsid w:val="00A85704"/>
    <w:rsid w:val="00A87717"/>
    <w:rsid w:val="00A87A9F"/>
    <w:rsid w:val="00A96A75"/>
    <w:rsid w:val="00A974A0"/>
    <w:rsid w:val="00AA2926"/>
    <w:rsid w:val="00AA7D02"/>
    <w:rsid w:val="00AB2E57"/>
    <w:rsid w:val="00AB40F5"/>
    <w:rsid w:val="00AC05F2"/>
    <w:rsid w:val="00AC0CEE"/>
    <w:rsid w:val="00AC1229"/>
    <w:rsid w:val="00AC2CF7"/>
    <w:rsid w:val="00AD7C1C"/>
    <w:rsid w:val="00AE4FC3"/>
    <w:rsid w:val="00AE562D"/>
    <w:rsid w:val="00AF5FAE"/>
    <w:rsid w:val="00B00565"/>
    <w:rsid w:val="00B11259"/>
    <w:rsid w:val="00B25A71"/>
    <w:rsid w:val="00B30404"/>
    <w:rsid w:val="00B37F20"/>
    <w:rsid w:val="00B41D17"/>
    <w:rsid w:val="00B43735"/>
    <w:rsid w:val="00B563D8"/>
    <w:rsid w:val="00B56D10"/>
    <w:rsid w:val="00B64027"/>
    <w:rsid w:val="00B73B55"/>
    <w:rsid w:val="00B83F4E"/>
    <w:rsid w:val="00B944D2"/>
    <w:rsid w:val="00BA7DE8"/>
    <w:rsid w:val="00BD633D"/>
    <w:rsid w:val="00BD6917"/>
    <w:rsid w:val="00C00887"/>
    <w:rsid w:val="00C1253E"/>
    <w:rsid w:val="00C128B2"/>
    <w:rsid w:val="00C171A5"/>
    <w:rsid w:val="00C2122C"/>
    <w:rsid w:val="00C21AA0"/>
    <w:rsid w:val="00C24A07"/>
    <w:rsid w:val="00C24F46"/>
    <w:rsid w:val="00C257F7"/>
    <w:rsid w:val="00C261A7"/>
    <w:rsid w:val="00C325DD"/>
    <w:rsid w:val="00C35A5C"/>
    <w:rsid w:val="00C365D2"/>
    <w:rsid w:val="00C43688"/>
    <w:rsid w:val="00C44B19"/>
    <w:rsid w:val="00C50D07"/>
    <w:rsid w:val="00C57D0A"/>
    <w:rsid w:val="00C621E9"/>
    <w:rsid w:val="00C63D5E"/>
    <w:rsid w:val="00C65A33"/>
    <w:rsid w:val="00C66840"/>
    <w:rsid w:val="00C86C9D"/>
    <w:rsid w:val="00C937A3"/>
    <w:rsid w:val="00C95E21"/>
    <w:rsid w:val="00C97023"/>
    <w:rsid w:val="00CA181A"/>
    <w:rsid w:val="00CA60C0"/>
    <w:rsid w:val="00CA7CEA"/>
    <w:rsid w:val="00CB476B"/>
    <w:rsid w:val="00CB494F"/>
    <w:rsid w:val="00CC00DA"/>
    <w:rsid w:val="00CC0D29"/>
    <w:rsid w:val="00CD0531"/>
    <w:rsid w:val="00CE07B4"/>
    <w:rsid w:val="00CE7BB0"/>
    <w:rsid w:val="00CF09F3"/>
    <w:rsid w:val="00CF2012"/>
    <w:rsid w:val="00CF393D"/>
    <w:rsid w:val="00D04551"/>
    <w:rsid w:val="00D12F80"/>
    <w:rsid w:val="00D12FEC"/>
    <w:rsid w:val="00D1388A"/>
    <w:rsid w:val="00D15882"/>
    <w:rsid w:val="00D23ED0"/>
    <w:rsid w:val="00D2585D"/>
    <w:rsid w:val="00D3017F"/>
    <w:rsid w:val="00D35FEE"/>
    <w:rsid w:val="00D4121E"/>
    <w:rsid w:val="00D469D5"/>
    <w:rsid w:val="00D47DC1"/>
    <w:rsid w:val="00D51391"/>
    <w:rsid w:val="00D56C5B"/>
    <w:rsid w:val="00D56CE8"/>
    <w:rsid w:val="00D65DDF"/>
    <w:rsid w:val="00D6605F"/>
    <w:rsid w:val="00D66B03"/>
    <w:rsid w:val="00D8055E"/>
    <w:rsid w:val="00D80CE6"/>
    <w:rsid w:val="00DA0E27"/>
    <w:rsid w:val="00DA2149"/>
    <w:rsid w:val="00DA4D0D"/>
    <w:rsid w:val="00DA77EE"/>
    <w:rsid w:val="00DB0848"/>
    <w:rsid w:val="00DB4280"/>
    <w:rsid w:val="00DB48CB"/>
    <w:rsid w:val="00DC0931"/>
    <w:rsid w:val="00DC136B"/>
    <w:rsid w:val="00DC2882"/>
    <w:rsid w:val="00DC2C89"/>
    <w:rsid w:val="00DC3CC2"/>
    <w:rsid w:val="00DD54FF"/>
    <w:rsid w:val="00DD62FE"/>
    <w:rsid w:val="00DD6481"/>
    <w:rsid w:val="00DE126D"/>
    <w:rsid w:val="00DF37FB"/>
    <w:rsid w:val="00E019AF"/>
    <w:rsid w:val="00E0509A"/>
    <w:rsid w:val="00E1221C"/>
    <w:rsid w:val="00E1297B"/>
    <w:rsid w:val="00E16123"/>
    <w:rsid w:val="00E24ABC"/>
    <w:rsid w:val="00E310F4"/>
    <w:rsid w:val="00E37A9B"/>
    <w:rsid w:val="00E37FE7"/>
    <w:rsid w:val="00E42734"/>
    <w:rsid w:val="00E42896"/>
    <w:rsid w:val="00E42B70"/>
    <w:rsid w:val="00E520D5"/>
    <w:rsid w:val="00E65F75"/>
    <w:rsid w:val="00E70BDC"/>
    <w:rsid w:val="00E757F8"/>
    <w:rsid w:val="00E80195"/>
    <w:rsid w:val="00E8049E"/>
    <w:rsid w:val="00E85B10"/>
    <w:rsid w:val="00E85FD5"/>
    <w:rsid w:val="00E90596"/>
    <w:rsid w:val="00E92BF9"/>
    <w:rsid w:val="00EA2FF3"/>
    <w:rsid w:val="00EB53AA"/>
    <w:rsid w:val="00EC1397"/>
    <w:rsid w:val="00EC45E1"/>
    <w:rsid w:val="00EC493D"/>
    <w:rsid w:val="00EC52A9"/>
    <w:rsid w:val="00ED4F36"/>
    <w:rsid w:val="00ED5FE2"/>
    <w:rsid w:val="00ED624F"/>
    <w:rsid w:val="00EE3D6B"/>
    <w:rsid w:val="00EE43F6"/>
    <w:rsid w:val="00EF6111"/>
    <w:rsid w:val="00F01EF2"/>
    <w:rsid w:val="00F03B65"/>
    <w:rsid w:val="00F0421E"/>
    <w:rsid w:val="00F0428C"/>
    <w:rsid w:val="00F06DAB"/>
    <w:rsid w:val="00F115C2"/>
    <w:rsid w:val="00F1216D"/>
    <w:rsid w:val="00F14530"/>
    <w:rsid w:val="00F2171C"/>
    <w:rsid w:val="00F259A7"/>
    <w:rsid w:val="00F26692"/>
    <w:rsid w:val="00F34687"/>
    <w:rsid w:val="00F36D02"/>
    <w:rsid w:val="00F42B08"/>
    <w:rsid w:val="00F4591B"/>
    <w:rsid w:val="00F477F0"/>
    <w:rsid w:val="00F57BF2"/>
    <w:rsid w:val="00F60821"/>
    <w:rsid w:val="00F65C75"/>
    <w:rsid w:val="00F724B1"/>
    <w:rsid w:val="00F756A0"/>
    <w:rsid w:val="00F8348E"/>
    <w:rsid w:val="00F85BAC"/>
    <w:rsid w:val="00F9178C"/>
    <w:rsid w:val="00F9630A"/>
    <w:rsid w:val="00F97D09"/>
    <w:rsid w:val="00FA4466"/>
    <w:rsid w:val="00FA638F"/>
    <w:rsid w:val="00FA74B4"/>
    <w:rsid w:val="00FA7A30"/>
    <w:rsid w:val="00FB020D"/>
    <w:rsid w:val="00FB12A1"/>
    <w:rsid w:val="00FB3BD7"/>
    <w:rsid w:val="00FB4D2C"/>
    <w:rsid w:val="00FB52DE"/>
    <w:rsid w:val="00FD030E"/>
    <w:rsid w:val="00FD3F1B"/>
    <w:rsid w:val="00FE5EBB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15A8"/>
    <w:pPr>
      <w:tabs>
        <w:tab w:val="left" w:pos="425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4A3EDF"/>
    <w:pPr>
      <w:keepNext/>
      <w:widowControl w:val="0"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601E5B"/>
    <w:pPr>
      <w:widowControl w:val="0"/>
      <w:numPr>
        <w:numId w:val="14"/>
      </w:numPr>
      <w:ind w:left="510" w:hanging="34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αβγ"/>
    <w:basedOn w:val="a0"/>
    <w:link w:val="Char"/>
    <w:qFormat/>
    <w:rsid w:val="00B563D8"/>
    <w:pPr>
      <w:ind w:left="680" w:hanging="340"/>
    </w:pPr>
  </w:style>
  <w:style w:type="character" w:customStyle="1" w:styleId="Char">
    <w:name w:val="αβγ Char"/>
    <w:basedOn w:val="a1"/>
    <w:link w:val="a4"/>
    <w:rsid w:val="00B563D8"/>
    <w:rPr>
      <w:rFonts w:ascii="Times New Roman" w:hAnsi="Times New Roman" w:cs="Times New Roman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rFonts w:eastAsia="Times New Roman"/>
      <w:i/>
      <w:sz w:val="20"/>
      <w:szCs w:val="20"/>
      <w:lang w:eastAsia="el-GR"/>
    </w:rPr>
  </w:style>
  <w:style w:type="paragraph" w:customStyle="1" w:styleId="abc">
    <w:name w:val="abc"/>
    <w:basedOn w:val="a0"/>
    <w:rsid w:val="009D2B72"/>
    <w:pPr>
      <w:numPr>
        <w:ilvl w:val="4"/>
        <w:numId w:val="15"/>
      </w:numPr>
      <w:spacing w:line="280" w:lineRule="atLeast"/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rsid w:val="00AE4FC3"/>
    <w:rPr>
      <w:rFonts w:ascii="Times New Roman" w:hAnsi="Times New Roman" w:cs="Times New Roman"/>
    </w:rPr>
  </w:style>
  <w:style w:type="paragraph" w:styleId="a7">
    <w:name w:val="footer"/>
    <w:basedOn w:val="a0"/>
    <w:link w:val="Char1"/>
    <w:unhideWhenUsed/>
    <w:rsid w:val="00AE4FC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AE4FC3"/>
    <w:rPr>
      <w:rFonts w:ascii="Times New Roman" w:hAnsi="Times New Roman" w:cs="Times New Roman"/>
    </w:rPr>
  </w:style>
  <w:style w:type="character" w:styleId="a8">
    <w:name w:val="page number"/>
    <w:basedOn w:val="a1"/>
    <w:rsid w:val="00AE4FC3"/>
  </w:style>
  <w:style w:type="paragraph" w:styleId="a9">
    <w:name w:val="Balloon Text"/>
    <w:basedOn w:val="a0"/>
    <w:link w:val="Char2"/>
    <w:uiPriority w:val="99"/>
    <w:semiHidden/>
    <w:unhideWhenUsed/>
    <w:rsid w:val="00A57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A571F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EC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25</cp:revision>
  <cp:lastPrinted>2014-09-04T13:46:00Z</cp:lastPrinted>
  <dcterms:created xsi:type="dcterms:W3CDTF">2014-09-16T09:29:00Z</dcterms:created>
  <dcterms:modified xsi:type="dcterms:W3CDTF">2014-09-17T06:02:00Z</dcterms:modified>
</cp:coreProperties>
</file>