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7C91" w14:textId="77777777" w:rsidR="00BE2EE7" w:rsidRDefault="00000000">
      <w:pPr>
        <w:pStyle w:val="10"/>
        <w:spacing w:before="80" w:after="120"/>
        <w:ind w:left="1417" w:right="1419"/>
      </w:pPr>
      <w:r>
        <w:t>Δύο αγωγοί επιταχύνονται από την ίδια δύναμη</w:t>
      </w:r>
    </w:p>
    <w:p w14:paraId="27B57249" w14:textId="77777777" w:rsidR="00BE2EE7" w:rsidRDefault="00000000">
      <w:r>
        <w:t>Ο αγωγός Α του σχήματος, μάζας m</w:t>
      </w:r>
      <w:r>
        <w:rPr>
          <w:vertAlign w:val="subscript"/>
        </w:rPr>
        <w:t>1</w:t>
      </w:r>
      <w:r>
        <w:t xml:space="preserve"> με αντίσταση R</w:t>
      </w:r>
      <w:r>
        <w:rPr>
          <w:vertAlign w:val="subscript"/>
        </w:rPr>
        <w:t>1</w:t>
      </w:r>
      <w:r>
        <w:t xml:space="preserve">, σύρεται οριζόντια σε επαφή με δύο παράλληλους στύλους xx΄ και yy΄, χωρίς τριβές. Οι στύλοι ορίζουν ένα οριζόντιο επίπεδο και δεν εμφανίζουν αντίσταση. Ο αγωγός ξεκινά από την ηρεμία και κινείται με την επίδραση σταθερής οριζόντιας δύναμης F, όπως στο σχήμα (σε κάτοψη). Τα άκρα x και y των δύο στύλων συνδέονται με αντίσταση R, ενώ στο χώρο υπάρχει ομογενές μαγνητικό πεδίο, κάθετο στο επίπεδο κίνησης του αγωγού. </w:t>
      </w:r>
    </w:p>
    <w:p w14:paraId="76EE296A" w14:textId="77777777" w:rsidR="00BE2EE7" w:rsidRDefault="00000000">
      <w:pPr>
        <w:jc w:val="center"/>
      </w:pPr>
      <w:r>
        <w:rPr>
          <w:noProof/>
        </w:rPr>
        <w:pict w14:anchorId="685AF2A8">
          <v:shapetype id="_x0000_m1034" coordsize="21600,21600" o:spt="1" o:preferrelative="t" path="m,l,21600r21600,l21600,xe">
            <v:stroke joinstyle="round"/>
            <v:path gradientshapeok="t" o:connecttype="rect"/>
          </v:shapetype>
        </w:pict>
      </w:r>
      <w:r>
        <w:rPr>
          <w:noProof/>
        </w:rPr>
        <w:object w:dxaOrig="7331" w:dyaOrig="2086" w14:anchorId="041C15D0">
          <v:rect id="Αντικείμενο OLE1" o:spid="_x0000_i1025" style="width:364.6pt;height:102.45pt;visibility:visible;mso-wrap-style:square;mso-wrap-distance-left:7.05pt;mso-wrap-distance-top:7.05pt;mso-wrap-distance-right:7.05pt;mso-wrap-distance-bottom:7.05pt" o:ole="" o:preferrelative="t" filled="f" stroked="f">
            <v:imagedata r:id="rId7" o:title="image1" chromakey="#f7fbf7"/>
          </v:rect>
          <o:OLEObject Type="Embed" ProgID="Visio.Drawing.11" ShapeID="Αντικείμενο OLE1" DrawAspect="Content" ObjectID="_1813417651" r:id="rId8"/>
        </w:object>
      </w:r>
    </w:p>
    <w:p w14:paraId="29B7D1FA" w14:textId="77777777" w:rsidR="00BE2EE7" w:rsidRDefault="00000000">
      <w:r>
        <w:t>Σε μια επανάληψη του ίδιου πειράματος ο αγωγός Α αντικαθίσταται από αγωγό Γ, μάζας m</w:t>
      </w:r>
      <w:r>
        <w:rPr>
          <w:vertAlign w:val="subscript"/>
        </w:rPr>
        <w:t>2</w:t>
      </w:r>
      <w:r>
        <w:t xml:space="preserve"> και αντίστασης R</w:t>
      </w:r>
      <w:r>
        <w:rPr>
          <w:vertAlign w:val="subscript"/>
        </w:rPr>
        <w:t>2</w:t>
      </w:r>
      <w:r>
        <w:t>. Στο ίδιο σύστημα αξόνων υ-t, χαράσσουμε τις γραφικές παραστάσεις της ταχύτητας  των δύο αγωγών Α και Γ σε συνάρτηση με το χρόνο, παίρνοντας τις καμπύλες, που φαίνονται στο διπλανό σχήμα.</w:t>
      </w:r>
    </w:p>
    <w:p w14:paraId="0BFF3113" w14:textId="77777777" w:rsidR="00BE2EE7" w:rsidRDefault="00000000">
      <w:pPr>
        <w:ind w:left="397" w:hanging="284"/>
      </w:pPr>
      <w:r>
        <w:t>i) Για τις αντιστάσεις των αγωγών Α και Γ ισχύει:</w:t>
      </w:r>
    </w:p>
    <w:p w14:paraId="580A63CB" w14:textId="77777777" w:rsidR="00BE2EE7" w:rsidRDefault="00000000">
      <w:pPr>
        <w:jc w:val="center"/>
      </w:pPr>
      <w:r>
        <w:t xml:space="preserve"> α) R</w:t>
      </w:r>
      <w:r>
        <w:rPr>
          <w:vertAlign w:val="subscript"/>
        </w:rPr>
        <w:t>1</w:t>
      </w:r>
      <w:r>
        <w:t xml:space="preserve"> &lt; R</w:t>
      </w:r>
      <w:r>
        <w:rPr>
          <w:vertAlign w:val="subscript"/>
        </w:rPr>
        <w:t>2</w:t>
      </w:r>
      <w:r>
        <w:t>,       β) R</w:t>
      </w:r>
      <w:r>
        <w:rPr>
          <w:vertAlign w:val="subscript"/>
        </w:rPr>
        <w:t>1</w:t>
      </w:r>
      <w:r>
        <w:t xml:space="preserve"> = R</w:t>
      </w:r>
      <w:r>
        <w:rPr>
          <w:vertAlign w:val="subscript"/>
        </w:rPr>
        <w:t>2</w:t>
      </w:r>
      <w:r>
        <w:t>,      γ) R</w:t>
      </w:r>
      <w:r>
        <w:rPr>
          <w:vertAlign w:val="subscript"/>
        </w:rPr>
        <w:t>1</w:t>
      </w:r>
      <w:r>
        <w:t xml:space="preserve"> &gt; R</w:t>
      </w:r>
      <w:r>
        <w:rPr>
          <w:vertAlign w:val="subscript"/>
        </w:rPr>
        <w:t>2</w:t>
      </w:r>
      <w:r>
        <w:t>.</w:t>
      </w:r>
    </w:p>
    <w:p w14:paraId="21A33DF0" w14:textId="77777777" w:rsidR="00BE2EE7" w:rsidRDefault="00000000">
      <w:pPr>
        <w:ind w:left="397" w:hanging="284"/>
      </w:pPr>
      <w:r>
        <w:t>ii) Για τις μάζες των αγωγών Α και Γ ισχύει:</w:t>
      </w:r>
    </w:p>
    <w:p w14:paraId="0E8BD5D7" w14:textId="77777777" w:rsidR="00BE2EE7" w:rsidRDefault="00000000">
      <w:pPr>
        <w:jc w:val="center"/>
      </w:pPr>
      <w:r>
        <w:t>α) m</w:t>
      </w:r>
      <w:r>
        <w:rPr>
          <w:vertAlign w:val="subscript"/>
        </w:rPr>
        <w:t>1</w:t>
      </w:r>
      <w:r>
        <w:t xml:space="preserve"> &lt; m</w:t>
      </w:r>
      <w:r>
        <w:rPr>
          <w:vertAlign w:val="subscript"/>
        </w:rPr>
        <w:t>2</w:t>
      </w:r>
      <w:r>
        <w:t>,     β) m</w:t>
      </w:r>
      <w:r>
        <w:rPr>
          <w:vertAlign w:val="subscript"/>
        </w:rPr>
        <w:t>1</w:t>
      </w:r>
      <w:r>
        <w:t xml:space="preserve"> = m</w:t>
      </w:r>
      <w:r>
        <w:rPr>
          <w:vertAlign w:val="subscript"/>
        </w:rPr>
        <w:t>2</w:t>
      </w:r>
      <w:r>
        <w:t>,     γ) m</w:t>
      </w:r>
      <w:r>
        <w:rPr>
          <w:vertAlign w:val="subscript"/>
        </w:rPr>
        <w:t>1</w:t>
      </w:r>
      <w:r>
        <w:t xml:space="preserve"> &gt; m</w:t>
      </w:r>
      <w:r>
        <w:rPr>
          <w:vertAlign w:val="subscript"/>
        </w:rPr>
        <w:t>2</w:t>
      </w:r>
      <w:r>
        <w:t>.</w:t>
      </w:r>
    </w:p>
    <w:p w14:paraId="25974EAE" w14:textId="77777777" w:rsidR="00BE2EE7" w:rsidRDefault="00000000">
      <w:r>
        <w:t>Να δικαιολογήσετε  τις απαντήσεις σας.</w:t>
      </w:r>
    </w:p>
    <w:p w14:paraId="38B23E2E" w14:textId="77777777" w:rsidR="00BE2EE7" w:rsidRDefault="00000000">
      <w:pPr>
        <w:pStyle w:val="a8"/>
      </w:pPr>
      <w:r>
        <w:t>Απάντηση:</w:t>
      </w:r>
    </w:p>
    <w:p w14:paraId="290843CD" w14:textId="77777777" w:rsidR="00BE2EE7" w:rsidRDefault="00000000">
      <w:pPr>
        <w:pBdr>
          <w:top w:val="nil"/>
          <w:left w:val="nil"/>
          <w:bottom w:val="nil"/>
          <w:right w:val="nil"/>
          <w:between w:val="nil"/>
        </w:pBdr>
        <w:rPr>
          <w:lang w:bidi="el-GR"/>
        </w:rPr>
      </w:pPr>
      <w:r>
        <w:rPr>
          <w:noProof/>
        </w:rPr>
        <w:object w:dxaOrig="1440" w:dyaOrig="1440" w14:anchorId="447D8CED">
          <v:shape id="Αντικείμενο OLE2" o:spid="_x0000_s1027" type="#_x0000_m1034" style="position:absolute;left:0;text-align:left;margin-left:340.45pt;margin-top:0;width:2in;height:102.6pt;z-index:251657728;mso-wrap-style:square;mso-wrap-distance-left:7.05pt;mso-wrap-distance-top:7.05pt;mso-wrap-distance-right:7.05pt;mso-wrap-distance-bottom:7.05pt;mso-position-vertical:top" o:spt="1" o:preferrelative="t" path="m,l,21600r21600,l21600,xe" filled="f" stroked="f">
            <v:stroke joinstyle="round"/>
            <v:imagedata r:id="rId9" o:title="image2"/>
            <v:path gradientshapeok="t" o:connecttype="rect"/>
            <w10:wrap type="square"/>
          </v:shape>
          <o:OLEObject Type="Embed" ProgID="Visio.Drawing.11" ShapeID="Αντικείμενο OLE2" DrawAspect="Content" ObjectID="_1813417653" r:id="rId10"/>
        </w:object>
      </w:r>
      <w:r>
        <w:rPr>
          <w:lang w:bidi="el-GR"/>
        </w:rPr>
        <w:t>Μόλις ο αγωγός κινηθεί προς τα δεξιά, εμφανίζεται πάνω του μια ΗΕΔ, από επαγωγή Ε=Βυl, με πολικότητα όπως στο διπλανό σχήμα, εξαιτίας της οποίας ο αγωγός διαρρέεται από ρεύμα έντασης i, με φορά από το Λ στο Κ. Αλλά τότε στον αγωγό ασκείται δύναμη Laplace από το μαγνητικό πεδίο, μέτρου F</w:t>
      </w:r>
      <w:r>
        <w:rPr>
          <w:vertAlign w:val="subscript"/>
          <w:lang w:bidi="el-GR"/>
        </w:rPr>
        <w:t>L</w:t>
      </w:r>
      <w:r>
        <w:rPr>
          <w:lang w:bidi="el-GR"/>
        </w:rPr>
        <w:t>=Βil, αντίθετης κατεύθυνσης, από την ασκούμενη δύναμη F.</w:t>
      </w:r>
    </w:p>
    <w:p w14:paraId="3D1DE830" w14:textId="77777777" w:rsidR="00BE2EE7" w:rsidRDefault="00000000">
      <w:pPr>
        <w:pStyle w:val="1"/>
      </w:pPr>
      <w:r>
        <w:t>Αν ο κινούμενος αγωγός έχει εσωτερική αντίσταση r, αποκτά οριακή ταχύτητα, όταν η συνισταμένη δύναμη είναι μηδενική, οπότε:</w:t>
      </w:r>
    </w:p>
    <w:p w14:paraId="3F6155AD" w14:textId="77777777" w:rsidR="00BE2EE7" w:rsidRDefault="00000000">
      <w:pPr>
        <w:jc w:val="center"/>
      </w:pPr>
      <w:r>
        <w:rPr>
          <w:noProof/>
          <w:position w:val="-90"/>
        </w:rPr>
        <w:pict w14:anchorId="1F943B10">
          <v:rect id="_x0000_i1027" style="width:239.1pt;height:99.25pt;visibility:visible;mso-wrap-style:square;mso-wrap-distance-left:0;mso-wrap-distance-top:0;mso-wrap-distance-right:0;mso-wrap-distance-bottom:0" o:preferrelative="t" filled="f" stroked="f">
            <v:imagedata r:id="rId11" o:title="image3" chromakey="#f7fbf7"/>
          </v:rect>
        </w:pict>
      </w:r>
    </w:p>
    <w:p w14:paraId="14209854" w14:textId="77777777" w:rsidR="00BE2EE7" w:rsidRDefault="00000000">
      <w:pPr>
        <w:ind w:left="340"/>
      </w:pPr>
      <w:r>
        <w:t xml:space="preserve">Από την παραπάνω εξίσωση προκύπτει ότι ο αγωγός που τελικά αποκτά μεγαλύτερη οριακή ταχύτητα, παρουσιάζει και μεγαλύτερη αντίσταση. Με βάση το διάγραμμα ο αγωγός Α αποκτά μεγαλύτερη οριακή </w:t>
      </w:r>
      <w:r>
        <w:lastRenderedPageBreak/>
        <w:t>ταχύτητα, άρα έχει και μεγαλύτερη αντίσταση. Σωστό το  γ) R</w:t>
      </w:r>
      <w:r>
        <w:rPr>
          <w:vertAlign w:val="subscript"/>
        </w:rPr>
        <w:t>1</w:t>
      </w:r>
      <w:r>
        <w:t xml:space="preserve"> &gt; R</w:t>
      </w:r>
      <w:r>
        <w:rPr>
          <w:vertAlign w:val="subscript"/>
        </w:rPr>
        <w:t>2</w:t>
      </w:r>
      <w:r>
        <w:t>.</w:t>
      </w:r>
    </w:p>
    <w:p w14:paraId="4180971F" w14:textId="77777777" w:rsidR="00BE2EE7" w:rsidRDefault="00000000">
      <w:pPr>
        <w:pStyle w:val="1"/>
      </w:pPr>
      <w:r>
        <w:t>Αν εφαρμόσουμε τον θεμελιώδη νόμο της  δυναμικής τη στιγμή που ο αγωγός ξεκινά (υ=0), οπότε και Ε=0 και δεν ασκείται στον αγωγό δύναμη Laplace, θα πάρουμε:</w:t>
      </w:r>
    </w:p>
    <w:p w14:paraId="7D325A79" w14:textId="77777777" w:rsidR="00BE2EE7" w:rsidRDefault="00000000">
      <w:pPr>
        <w:pStyle w:val="a6"/>
        <w:jc w:val="center"/>
      </w:pPr>
      <w:r>
        <w:rPr>
          <w:noProof/>
          <w:position w:val="-6"/>
        </w:rPr>
        <w:object w:dxaOrig="1980" w:dyaOrig="340" w14:anchorId="14AA9BEC">
          <v:rect id="Αντικείμενο OLE4" o:spid="_x0000_i1028" style="width:99.25pt;height:17.1pt;visibility:visible;mso-wrap-style:square;mso-wrap-distance-left:7.05pt;mso-wrap-distance-top:7.05pt;mso-wrap-distance-right:7.05pt;mso-wrap-distance-bottom:7.05pt" o:ole="" o:preferrelative="t" filled="f" stroked="f">
            <v:imagedata r:id="rId12" o:title="image4" chromakey="#f7fbf7"/>
          </v:rect>
          <o:OLEObject Type="Embed" ProgID="Equation.DSMT4" ShapeID="Αντικείμενο OLE4" DrawAspect="Content" ObjectID="_1813417652" r:id="rId13"/>
        </w:object>
      </w:r>
      <w:r>
        <w:t xml:space="preserve"> (1)</w:t>
      </w:r>
    </w:p>
    <w:p w14:paraId="0FC5C879" w14:textId="77777777" w:rsidR="00BE2EE7" w:rsidRDefault="00000000">
      <w:pPr>
        <w:ind w:left="340"/>
      </w:pPr>
      <w:r>
        <w:rPr>
          <w:noProof/>
        </w:rPr>
        <w:object w:dxaOrig="1440" w:dyaOrig="1440" w14:anchorId="702C6EAB">
          <v:shape id="Αντικείμενο OLE5" o:spid="_x0000_s1030" type="#_x0000_m1034" style="position:absolute;left:0;text-align:left;margin-left:362.55pt;margin-top:2.5pt;width:119.4pt;height:92.4pt;z-index:251658752;mso-wrap-style:square;mso-wrap-distance-left:7.05pt;mso-wrap-distance-top:7.05pt;mso-wrap-distance-right:7.05pt;mso-wrap-distance-bottom:7.05pt" o:spt="1" o:preferrelative="t" path="m,l,21600r21600,l21600,xe" filled="f" stroked="f">
            <v:stroke joinstyle="round"/>
            <v:imagedata r:id="rId14" o:title="image5"/>
            <v:path gradientshapeok="t" o:connecttype="rect"/>
            <w10:wrap type="square"/>
          </v:shape>
          <o:OLEObject Type="Embed" ProgID="Visio.Drawing.11" ShapeID="Αντικείμενο OLE5" DrawAspect="Content" ObjectID="_1813417654" r:id="rId15"/>
        </w:object>
      </w:r>
      <w:r>
        <w:t xml:space="preserve">Αλλά στο διάγραμμα υ-t για ένα κινούμενο σώμα, η κλίση μας δίνει την επιτάχυνση του σώματος. Έτσι αν φέρουμε τις εφαπτόμενες στις  δύο καμπύλες για t=0, θα σχηματισθούν οι γωνίες θ και φ, όπως στο διπλανό σχήμα, όπου θ &gt; φ, συνεπώς ο αγωγός Α έχει μεγαλύτερη αρχική επιτάχυνση από τον αγωγό Γ. Πράγμα που σημαίνει ότι έχει μικρότερη μάζα, λόγω της σχέσης (1). </w:t>
      </w:r>
    </w:p>
    <w:p w14:paraId="31A88ED1" w14:textId="77777777" w:rsidR="00BE2EE7" w:rsidRDefault="00000000">
      <w:pPr>
        <w:ind w:left="340"/>
      </w:pPr>
      <w:r>
        <w:t>Σωστό το α) m</w:t>
      </w:r>
      <w:r>
        <w:rPr>
          <w:vertAlign w:val="subscript"/>
        </w:rPr>
        <w:t>1</w:t>
      </w:r>
      <w:r>
        <w:t xml:space="preserve"> &lt; m</w:t>
      </w:r>
      <w:r>
        <w:rPr>
          <w:vertAlign w:val="subscript"/>
        </w:rPr>
        <w:t>2</w:t>
      </w:r>
      <w:r>
        <w:t>.</w:t>
      </w:r>
    </w:p>
    <w:p w14:paraId="2A7BBEFE" w14:textId="77777777" w:rsidR="00BE2EE7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jc w:val="right"/>
        <w:rPr>
          <w:rFonts w:eastAsia="Calibri"/>
          <w:lang w:val="en-US"/>
        </w:rPr>
      </w:pPr>
      <w:r>
        <w:rPr>
          <w:rFonts w:eastAsia="Calibri"/>
          <w:b/>
          <w:i/>
          <w:color w:val="0070C0"/>
          <w:sz w:val="24"/>
          <w:szCs w:val="24"/>
          <w:lang w:val="en-US"/>
        </w:rPr>
        <w:t>dmargaris@gmail.com</w:t>
      </w:r>
      <w:r>
        <w:rPr>
          <w:rFonts w:eastAsia="Calibri"/>
          <w:lang w:val="en-US"/>
        </w:rPr>
        <w:t xml:space="preserve"> </w:t>
      </w:r>
    </w:p>
    <w:sectPr w:rsidR="00BE2EE7">
      <w:headerReference w:type="default" r:id="rId16"/>
      <w:footerReference w:type="default" r:id="rId17"/>
      <w:type w:val="continuous"/>
      <w:pgSz w:w="11907" w:h="16839"/>
      <w:pgMar w:top="1361" w:right="1134" w:bottom="141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9089" w14:textId="77777777" w:rsidR="00850357" w:rsidRDefault="00850357">
      <w:pPr>
        <w:spacing w:line="240" w:lineRule="auto"/>
      </w:pPr>
      <w:r>
        <w:separator/>
      </w:r>
    </w:p>
  </w:endnote>
  <w:endnote w:type="continuationSeparator" w:id="0">
    <w:p w14:paraId="756D54DE" w14:textId="77777777" w:rsidR="00850357" w:rsidRDefault="00850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17F0" w14:textId="77777777" w:rsidR="00BE2EE7" w:rsidRDefault="00000000">
    <w:pPr>
      <w:pStyle w:val="a5"/>
      <w:pBdr>
        <w:top w:val="single" w:sz="4" w:space="1" w:color="000000"/>
        <w:left w:val="nil"/>
        <w:bottom w:val="nil"/>
        <w:right w:val="nil"/>
        <w:between w:val="nil"/>
      </w:pBdr>
      <w:tabs>
        <w:tab w:val="clear" w:pos="4819"/>
        <w:tab w:val="clear" w:pos="9639"/>
        <w:tab w:val="left" w:pos="340"/>
        <w:tab w:val="left" w:pos="2888"/>
        <w:tab w:val="center" w:pos="4862"/>
        <w:tab w:val="right" w:pos="9411"/>
      </w:tabs>
      <w:jc w:val="center"/>
      <w:rPr>
        <w:rFonts w:eastAsia="Calibri"/>
        <w:i/>
        <w:color w:val="0000FF"/>
        <w:kern w:val="0"/>
        <w:lang w:val="en-US" w:eastAsia="en-US"/>
      </w:rPr>
    </w:pPr>
    <w:r>
      <w:rPr>
        <w:rFonts w:eastAsia="Calibri"/>
        <w:i/>
        <w:color w:val="0000FF"/>
        <w:kern w:val="0"/>
        <w:lang w:val="en-US" w:eastAsia="en-US"/>
      </w:rPr>
      <w:tab/>
    </w:r>
    <w:r>
      <w:rPr>
        <w:rFonts w:eastAsia="Calibri"/>
        <w:i/>
        <w:color w:val="0000FF"/>
        <w:kern w:val="0"/>
        <w:lang w:val="en-US" w:eastAsia="en-US"/>
      </w:rPr>
      <w:tab/>
    </w:r>
    <w:r>
      <w:rPr>
        <w:rFonts w:eastAsia="Calibri"/>
        <w:i/>
        <w:color w:val="0000FF"/>
        <w:kern w:val="0"/>
        <w:lang w:val="en-US" w:eastAsia="en-US"/>
      </w:rPr>
      <w:tab/>
      <w:t xml:space="preserve">  </w:t>
    </w:r>
    <w:hyperlink r:id="rId1" w:history="1">
      <w:r>
        <w:rPr>
          <w:rStyle w:val="-"/>
          <w:rFonts w:eastAsia="Calibri"/>
          <w:i/>
          <w:kern w:val="0"/>
          <w:lang w:val="en-US" w:eastAsia="en-US"/>
        </w:rPr>
        <w:t>www.ylikonet.gr</w:t>
      </w:r>
    </w:hyperlink>
    <w:r>
      <w:rPr>
        <w:rFonts w:eastAsia="Calibri"/>
        <w:i/>
        <w:color w:val="0000FF"/>
        <w:kern w:val="0"/>
        <w:lang w:val="en-US" w:eastAsia="en-US"/>
      </w:rPr>
      <w:t xml:space="preserve">  </w:t>
    </w:r>
    <w:r>
      <w:rPr>
        <w:rFonts w:eastAsia="Calibri"/>
        <w:i/>
        <w:color w:val="0000FF"/>
        <w:kern w:val="0"/>
        <w:lang w:val="en-US" w:eastAsia="en-US"/>
      </w:rPr>
      <w:tab/>
    </w:r>
    <w:r>
      <w:rPr>
        <w:rFonts w:eastAsia="Calibri"/>
        <w:i/>
        <w:color w:val="0000FF"/>
        <w:kern w:val="0"/>
        <w:lang w:val="en-US" w:eastAsia="en-US"/>
      </w:rPr>
      <w:fldChar w:fldCharType="begin"/>
    </w:r>
    <w:r>
      <w:rPr>
        <w:rFonts w:eastAsia="Calibri"/>
        <w:i/>
        <w:color w:val="0000FF"/>
        <w:kern w:val="0"/>
        <w:lang w:val="en-US" w:eastAsia="en-US"/>
      </w:rPr>
      <w:instrText xml:space="preserve"> PAGE </w:instrText>
    </w:r>
    <w:r>
      <w:rPr>
        <w:rFonts w:eastAsia="Calibri"/>
        <w:i/>
        <w:color w:val="0000FF"/>
        <w:kern w:val="0"/>
        <w:lang w:val="en-US" w:eastAsia="en-US"/>
      </w:rPr>
      <w:fldChar w:fldCharType="separate"/>
    </w:r>
    <w:r>
      <w:rPr>
        <w:rFonts w:eastAsia="Calibri"/>
        <w:i/>
        <w:color w:val="0000FF"/>
        <w:kern w:val="0"/>
        <w:lang w:val="en-US" w:eastAsia="en-US"/>
      </w:rPr>
      <w:t>1</w:t>
    </w:r>
    <w:r>
      <w:rPr>
        <w:rFonts w:eastAsia="Calibri"/>
        <w:i/>
        <w:color w:val="0000FF"/>
        <w:kern w:val="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0924" w14:textId="77777777" w:rsidR="00850357" w:rsidRDefault="00850357">
      <w:pPr>
        <w:spacing w:line="240" w:lineRule="auto"/>
      </w:pPr>
      <w:r>
        <w:separator/>
      </w:r>
    </w:p>
  </w:footnote>
  <w:footnote w:type="continuationSeparator" w:id="0">
    <w:p w14:paraId="28E6EFE1" w14:textId="77777777" w:rsidR="00850357" w:rsidRDefault="00850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4661" w14:textId="77777777" w:rsidR="00BE2EE7" w:rsidRDefault="00000000">
    <w:pPr>
      <w:pStyle w:val="a4"/>
      <w:pBdr>
        <w:top w:val="nil"/>
        <w:left w:val="nil"/>
        <w:bottom w:val="single" w:sz="4" w:space="1" w:color="000000"/>
        <w:right w:val="nil"/>
        <w:between w:val="nil"/>
      </w:pBdr>
      <w:tabs>
        <w:tab w:val="clear" w:pos="4819"/>
        <w:tab w:val="left" w:pos="340"/>
      </w:tabs>
      <w:rPr>
        <w:rFonts w:eastAsia="Calibri"/>
        <w:i/>
        <w:kern w:val="0"/>
        <w:lang w:eastAsia="en-US"/>
      </w:rPr>
    </w:pPr>
    <w:r>
      <w:rPr>
        <w:rFonts w:eastAsia="Calibri"/>
        <w:i/>
        <w:kern w:val="0"/>
        <w:lang w:eastAsia="en-US"/>
      </w:rPr>
      <w:t>Υλικό Φυσικής-Χημείας</w:t>
    </w:r>
    <w:r>
      <w:rPr>
        <w:rFonts w:eastAsia="Calibri"/>
        <w:i/>
        <w:kern w:val="0"/>
        <w:lang w:eastAsia="en-US"/>
      </w:rPr>
      <w:tab/>
      <w:t>Επαγωγή</w:t>
    </w:r>
  </w:p>
  <w:p w14:paraId="3D17B14F" w14:textId="77777777" w:rsidR="00BE2EE7" w:rsidRDefault="00BE2E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FA3"/>
    <w:multiLevelType w:val="singleLevel"/>
    <w:tmpl w:val="4290DF0A"/>
    <w:name w:val="Bullet 3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1" w15:restartNumberingAfterBreak="0">
    <w:nsid w:val="11F93638"/>
    <w:multiLevelType w:val="singleLevel"/>
    <w:tmpl w:val="A1EA070E"/>
    <w:name w:val="Bullet 7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D4420EE"/>
    <w:multiLevelType w:val="singleLevel"/>
    <w:tmpl w:val="11BE14F8"/>
    <w:name w:val="Bullet 5"/>
    <w:lvl w:ilvl="0">
      <w:start w:val="1"/>
      <w:numFmt w:val="lowerLetter"/>
      <w:pStyle w:val="abc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40EE290F"/>
    <w:multiLevelType w:val="singleLevel"/>
    <w:tmpl w:val="C0D2E732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4" w15:restartNumberingAfterBreak="0">
    <w:nsid w:val="57BC0A02"/>
    <w:multiLevelType w:val="singleLevel"/>
    <w:tmpl w:val="3EB2AAE2"/>
    <w:name w:val="Bullet 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57C56BE4"/>
    <w:multiLevelType w:val="hybridMultilevel"/>
    <w:tmpl w:val="CA48CB78"/>
    <w:name w:val="Αριθμημένη λίστα 1"/>
    <w:lvl w:ilvl="0" w:tplc="3F260D94">
      <w:start w:val="1"/>
      <w:numFmt w:val="lowerRoman"/>
      <w:lvlText w:val="%1)"/>
      <w:lvlJc w:val="left"/>
      <w:pPr>
        <w:tabs>
          <w:tab w:val="num" w:pos="283"/>
        </w:tabs>
        <w:ind w:left="283" w:hanging="283"/>
      </w:pPr>
    </w:lvl>
    <w:lvl w:ilvl="1" w:tplc="335A4A2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8CF4ED98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</w:lvl>
    <w:lvl w:ilvl="3" w:tplc="77B4B060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 w:tplc="F328D76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A7482064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 w:tplc="FD1495B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47C90A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7F3C923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2063CFF"/>
    <w:multiLevelType w:val="hybridMultilevel"/>
    <w:tmpl w:val="78D06166"/>
    <w:lvl w:ilvl="0" w:tplc="F9AE4B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A002F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CE6CA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F6CEB3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F680D0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8AAC97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D48B9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61CF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556B3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386F9E"/>
    <w:multiLevelType w:val="singleLevel"/>
    <w:tmpl w:val="A2A8A5D8"/>
    <w:name w:val="Bullet 4"/>
    <w:lvl w:ilvl="0">
      <w:start w:val="1"/>
      <w:numFmt w:val="decimal"/>
      <w:pStyle w:val="a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1433284038">
    <w:abstractNumId w:val="3"/>
  </w:num>
  <w:num w:numId="2" w16cid:durableId="727608204">
    <w:abstractNumId w:val="5"/>
  </w:num>
  <w:num w:numId="3" w16cid:durableId="615260080">
    <w:abstractNumId w:val="0"/>
  </w:num>
  <w:num w:numId="4" w16cid:durableId="526988450">
    <w:abstractNumId w:val="7"/>
  </w:num>
  <w:num w:numId="5" w16cid:durableId="1008946647">
    <w:abstractNumId w:val="2"/>
  </w:num>
  <w:num w:numId="6" w16cid:durableId="1457407954">
    <w:abstractNumId w:val="6"/>
  </w:num>
  <w:num w:numId="7" w16cid:durableId="624309906">
    <w:abstractNumId w:val="4"/>
  </w:num>
  <w:num w:numId="8" w16cid:durableId="147405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autoHyphenation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E7"/>
    <w:rsid w:val="00850357"/>
    <w:rsid w:val="00905690"/>
    <w:rsid w:val="00AB39C6"/>
    <w:rsid w:val="00B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247F81E"/>
  <w15:docId w15:val="{5CD5ABA6-39CB-45DF-B066-7C07666E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1"/>
        <w:lang w:val="el-GR" w:eastAsia="zh-CN" w:bidi="ar-SA"/>
      </w:rPr>
    </w:rPrDefault>
    <w:pPrDefault>
      <w:pPr>
        <w:widowControl w:val="0"/>
        <w:tabs>
          <w:tab w:val="left" w:pos="340"/>
        </w:tabs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2"/>
      <w:szCs w:val="22"/>
    </w:rPr>
  </w:style>
  <w:style w:type="paragraph" w:styleId="10">
    <w:name w:val="heading 1"/>
    <w:basedOn w:val="a0"/>
    <w:next w:val="a0"/>
    <w:qFormat/>
    <w:pPr>
      <w:keepNext/>
      <w:keepLines/>
      <w:pBdr>
        <w:top w:val="single" w:sz="24" w:space="3" w:color="0070C0"/>
        <w:left w:val="single" w:sz="24" w:space="3" w:color="0070C0"/>
        <w:bottom w:val="single" w:sz="24" w:space="3" w:color="0070C0"/>
        <w:right w:val="single" w:sz="24" w:space="3" w:color="0070C0"/>
        <w:between w:val="single" w:sz="8" w:space="0" w:color="000000"/>
      </w:pBdr>
      <w:shd w:val="solid" w:color="0070C0" w:fill="auto"/>
      <w:ind w:left="1701" w:right="1701"/>
      <w:jc w:val="center"/>
      <w:outlineLvl w:val="0"/>
    </w:pPr>
    <w:rPr>
      <w:rFonts w:ascii="Cambria" w:eastAsia="Cambria" w:hAnsi="Cambria" w:cs="Cambria"/>
      <w:b/>
      <w:bCs/>
      <w:i/>
      <w:iCs/>
      <w:color w:val="FFFFFF"/>
      <w:sz w:val="28"/>
      <w:szCs w:val="28"/>
    </w:rPr>
  </w:style>
  <w:style w:type="paragraph" w:styleId="2">
    <w:name w:val="heading 2"/>
    <w:basedOn w:val="10"/>
    <w:next w:val="a0"/>
    <w:qFormat/>
    <w:pPr>
      <w:pBdr>
        <w:top w:val="nil"/>
        <w:left w:val="nil"/>
        <w:bottom w:val="nil"/>
        <w:right w:val="nil"/>
        <w:between w:val="nil"/>
      </w:pBdr>
      <w:shd w:val="clear" w:color="auto" w:fill="auto"/>
      <w:ind w:left="113"/>
      <w:jc w:val="left"/>
      <w:outlineLvl w:val="1"/>
    </w:pPr>
    <w:rPr>
      <w:color w:val="0070C0"/>
      <w:sz w:val="24"/>
      <w:szCs w:val="24"/>
    </w:rPr>
  </w:style>
  <w:style w:type="paragraph" w:styleId="3">
    <w:name w:val="heading 3"/>
    <w:basedOn w:val="2"/>
    <w:next w:val="a0"/>
    <w:qFormat/>
    <w:pPr>
      <w:numPr>
        <w:numId w:val="3"/>
      </w:numPr>
      <w:spacing w:before="40" w:after="20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  <w:szCs w:val="22"/>
    </w:rPr>
  </w:style>
  <w:style w:type="paragraph" w:styleId="4">
    <w:name w:val="heading 4"/>
    <w:basedOn w:val="3"/>
    <w:next w:val="a0"/>
    <w:qFormat/>
    <w:pPr>
      <w:spacing w:before="60" w:after="60"/>
      <w:outlineLvl w:val="3"/>
    </w:pPr>
  </w:style>
  <w:style w:type="paragraph" w:styleId="5">
    <w:name w:val="heading 5"/>
    <w:basedOn w:val="4"/>
    <w:next w:val="a0"/>
    <w:qFormat/>
    <w:pPr>
      <w:spacing w:before="0" w:after="0"/>
      <w:ind w:left="0"/>
      <w:outlineLvl w:val="4"/>
    </w:pPr>
  </w:style>
  <w:style w:type="paragraph" w:styleId="6">
    <w:name w:val="heading 6"/>
    <w:basedOn w:val="5"/>
    <w:next w:val="a0"/>
    <w:qFormat/>
    <w:p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qFormat/>
    <w:pPr>
      <w:tabs>
        <w:tab w:val="clear" w:pos="340"/>
        <w:tab w:val="center" w:pos="4819"/>
        <w:tab w:val="right" w:pos="9639"/>
      </w:tabs>
    </w:pPr>
  </w:style>
  <w:style w:type="paragraph" w:styleId="a5">
    <w:name w:val="footer"/>
    <w:basedOn w:val="a0"/>
    <w:qFormat/>
    <w:pPr>
      <w:tabs>
        <w:tab w:val="clear" w:pos="340"/>
        <w:tab w:val="center" w:pos="4819"/>
        <w:tab w:val="right" w:pos="9639"/>
      </w:tabs>
    </w:pPr>
  </w:style>
  <w:style w:type="paragraph" w:customStyle="1" w:styleId="a">
    <w:name w:val="Αριθμός"/>
    <w:basedOn w:val="a0"/>
    <w:qFormat/>
    <w:pPr>
      <w:numPr>
        <w:numId w:val="4"/>
      </w:numPr>
      <w:spacing w:before="40" w:after="40"/>
    </w:pPr>
  </w:style>
  <w:style w:type="paragraph" w:styleId="Web">
    <w:name w:val="Normal (Web)"/>
    <w:basedOn w:val="a0"/>
    <w:qFormat/>
    <w:rPr>
      <w:rFonts w:ascii="Calibri" w:eastAsia="Calibri" w:hAnsi="Calibri" w:cs="Calibri"/>
    </w:rPr>
  </w:style>
  <w:style w:type="paragraph" w:customStyle="1" w:styleId="a6">
    <w:name w:val="ερώτημα"/>
    <w:basedOn w:val="a0"/>
    <w:qFormat/>
    <w:pPr>
      <w:pBdr>
        <w:top w:val="nil"/>
        <w:left w:val="nil"/>
        <w:bottom w:val="nil"/>
        <w:right w:val="nil"/>
        <w:between w:val="nil"/>
      </w:pBdr>
      <w:ind w:left="680" w:hanging="340"/>
    </w:pPr>
  </w:style>
  <w:style w:type="paragraph" w:customStyle="1" w:styleId="a7">
    <w:name w:val="κουκίδες"/>
    <w:basedOn w:val="3"/>
    <w:next w:val="a0"/>
    <w:qFormat/>
  </w:style>
  <w:style w:type="paragraph" w:customStyle="1" w:styleId="a8">
    <w:name w:val="Απάντηση"/>
    <w:basedOn w:val="2"/>
    <w:next w:val="a0"/>
    <w:qFormat/>
    <w:pPr>
      <w:spacing w:before="80" w:after="80"/>
      <w:ind w:right="0"/>
      <w:jc w:val="both"/>
    </w:pPr>
  </w:style>
  <w:style w:type="paragraph" w:styleId="a9">
    <w:name w:val="Title"/>
    <w:basedOn w:val="a0"/>
    <w:next w:val="a0"/>
    <w:qFormat/>
    <w:pPr>
      <w:keepNext/>
      <w:spacing w:before="120" w:after="60"/>
      <w:ind w:left="283"/>
      <w:outlineLvl w:val="0"/>
    </w:pPr>
    <w:rPr>
      <w:rFonts w:ascii="Cambria" w:eastAsia="Cambria" w:hAnsi="Cambria" w:cs="Cambria"/>
      <w:b/>
      <w:bCs/>
      <w:color w:val="FF0000"/>
    </w:rPr>
  </w:style>
  <w:style w:type="paragraph" w:customStyle="1" w:styleId="abc">
    <w:name w:val="abc"/>
    <w:basedOn w:val="a6"/>
    <w:qFormat/>
    <w:pPr>
      <w:numPr>
        <w:numId w:val="5"/>
      </w:numPr>
      <w:ind w:left="680"/>
    </w:pPr>
  </w:style>
  <w:style w:type="paragraph" w:customStyle="1" w:styleId="1">
    <w:name w:val="Λίστα1"/>
    <w:basedOn w:val="a0"/>
    <w:qFormat/>
    <w:pPr>
      <w:numPr>
        <w:numId w:val="1"/>
      </w:numPr>
    </w:pPr>
    <w:rPr>
      <w:rFonts w:eastAsia="Times New Roman"/>
    </w:rPr>
  </w:style>
  <w:style w:type="character" w:styleId="-">
    <w:name w:val="Hyperlink"/>
    <w:rPr>
      <w:color w:val="0000FF"/>
      <w:u w:val="single"/>
    </w:rPr>
  </w:style>
  <w:style w:type="table" w:styleId="aa">
    <w:name w:val="Table Grid"/>
    <w:basedOn w:val="a2"/>
    <w:pPr>
      <w:spacing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liko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FFFF"/>
        </a:solidFill>
        <a:ln w="12700">
          <a:noFill/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2025-07-07T15:21:00Z</dcterms:created>
  <dcterms:modified xsi:type="dcterms:W3CDTF">2025-07-07T15:21:00Z</dcterms:modified>
</cp:coreProperties>
</file>