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199" w14:textId="710A7CAB" w:rsidR="00D533FC" w:rsidRDefault="00F56938" w:rsidP="00AE0040">
      <w:pPr>
        <w:pStyle w:val="11"/>
      </w:pPr>
      <w:r>
        <w:t>Με πληροφορίες από ένα διάγραμμα</w:t>
      </w:r>
    </w:p>
    <w:p w14:paraId="34BA5425" w14:textId="0D83B3C3" w:rsidR="00F56938" w:rsidRDefault="00F56938" w:rsidP="00F56938">
      <w:r>
        <w:t>Ένα σώμα Α ηρεμεί στο κάτω άκρο ενός ιδανικού κατακόρυφου ελατηρίου, το πάνω άκρο του οποίου έχει δεθεί σ</w:t>
      </w:r>
      <w:r w:rsidR="00865FCD">
        <w:t>ε</w:t>
      </w:r>
      <w:r>
        <w:t xml:space="preserve"> ταβάνι. Εκτρέπουμε το σώμα Α κατακόρυφα και το αφήνουμε να εκτελέσει μια ΑΑΤ. Σε μια στιγμή το σώμα Α  συγκρούεται μετωπικά με ένα δεύτερο σώμα Β, το οποίο κινείται κατακόρυφα προς τα πάνω, όπως στο</w:t>
      </w:r>
      <w:r w:rsidR="001C542B">
        <w:t xml:space="preserve"> </w:t>
      </w:r>
      <w:r>
        <w:t>σχήμα. Στο διπλανό διάγραμμα δίνεται το μήκος του ελατηρίου σε συνάρτηση με το χρόνο.</w:t>
      </w:r>
    </w:p>
    <w:p w14:paraId="4B63C84B" w14:textId="717890FA" w:rsidR="001C542B" w:rsidRDefault="00411779" w:rsidP="001C542B">
      <w:pPr>
        <w:jc w:val="center"/>
      </w:pPr>
      <w:r>
        <w:object w:dxaOrig="5769" w:dyaOrig="2594" w14:anchorId="5C17D4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35pt;height:129.6pt" o:ole="" filled="t" fillcolor="#ffc">
            <v:imagedata r:id="rId8" o:title=""/>
          </v:shape>
          <o:OLEObject Type="Embed" ProgID="Visio.Drawing.11" ShapeID="_x0000_i1025" DrawAspect="Content" ObjectID="_1824799123" r:id="rId9"/>
        </w:object>
      </w:r>
    </w:p>
    <w:p w14:paraId="458E5EBF" w14:textId="32DE36E9" w:rsidR="00F56938" w:rsidRDefault="001C542B" w:rsidP="001C542B">
      <w:r>
        <w:t>Αντλώντας πληροφορίες από το διάγραμμα, να απαντήσετε στα παρακάτω ερωτήματα, δίνοντας και σύντομες δικαιολογήσεις.</w:t>
      </w:r>
    </w:p>
    <w:p w14:paraId="5786C7A5" w14:textId="585924FE" w:rsidR="001C542B" w:rsidRDefault="00CE6816" w:rsidP="001C542B">
      <w:pPr>
        <w:pStyle w:val="10"/>
      </w:pPr>
      <w:r>
        <w:t xml:space="preserve"> Η αρχική εκτροπή του σώματος Α ήταν προς τα πάνω ή προς τα κάτω;</w:t>
      </w:r>
    </w:p>
    <w:p w14:paraId="5231633E" w14:textId="62737C8B" w:rsidR="00CE6816" w:rsidRDefault="00CE6816" w:rsidP="001C542B">
      <w:pPr>
        <w:pStyle w:val="10"/>
      </w:pPr>
      <w:r>
        <w:t>Ποιο είναι το φυσικό μήκος του ελατηρίου με δεδομένο ότι η αρχική επιτάχυνση του σώματος Α, μόλις αφεθεί να κινηθεί, έχει μέτρο α=g, όπου g η επιτάχυνση της βαρύτητας;</w:t>
      </w:r>
    </w:p>
    <w:p w14:paraId="0E44AEA9" w14:textId="35E91DB9" w:rsidR="00CE6816" w:rsidRDefault="00CE6816" w:rsidP="001C542B">
      <w:pPr>
        <w:pStyle w:val="10"/>
      </w:pPr>
      <w:r>
        <w:t>Ποιο είναι το πλάτος ταλάντωσης του σώματος Α, πριν την κρούση;</w:t>
      </w:r>
    </w:p>
    <w:p w14:paraId="0CE9EE3F" w14:textId="76DB1EBD" w:rsidR="00CE6816" w:rsidRDefault="00CE6816" w:rsidP="001C542B">
      <w:pPr>
        <w:pStyle w:val="10"/>
      </w:pPr>
      <w:r>
        <w:t>Προς τα πού κινείται το σώμα Α τη στιγμή της κρούσης, προς τα πάνω ή προς τα κάτω;</w:t>
      </w:r>
    </w:p>
    <w:p w14:paraId="14148D77" w14:textId="61E4B43F" w:rsidR="00CE6816" w:rsidRDefault="00CE6816" w:rsidP="001C542B">
      <w:pPr>
        <w:pStyle w:val="10"/>
      </w:pPr>
      <w:r>
        <w:t>Η κρούση μεταξύ των δύο σωμάτων είναι πλαστική ή όχι;</w:t>
      </w:r>
    </w:p>
    <w:p w14:paraId="43EC3925" w14:textId="15739789" w:rsidR="00CE6816" w:rsidRDefault="00091906" w:rsidP="001C542B">
      <w:pPr>
        <w:pStyle w:val="10"/>
      </w:pPr>
      <w:r>
        <w:t xml:space="preserve">Αν το σώμα Α έχει </w:t>
      </w:r>
      <w:r w:rsidR="00E02C66">
        <w:t>μάζα</w:t>
      </w:r>
      <w:r>
        <w:t xml:space="preserve"> m</w:t>
      </w:r>
      <w:r>
        <w:rPr>
          <w:vertAlign w:val="subscript"/>
        </w:rPr>
        <w:t>1</w:t>
      </w:r>
      <w:r>
        <w:t>=</w:t>
      </w:r>
      <w:r w:rsidR="007C1980">
        <w:t>0,6</w:t>
      </w:r>
      <w:r>
        <w:t>kg, να</w:t>
      </w:r>
      <w:r w:rsidR="00055507">
        <w:t xml:space="preserve"> </w:t>
      </w:r>
      <w:r>
        <w:t>υπολογιστούν:</w:t>
      </w:r>
    </w:p>
    <w:p w14:paraId="5F99A887" w14:textId="4F362B2C" w:rsidR="00091906" w:rsidRDefault="00091906" w:rsidP="00091906">
      <w:pPr>
        <w:pStyle w:val="abc"/>
      </w:pPr>
      <w:r>
        <w:t>α) Η σταθερά k του ελατηρίου</w:t>
      </w:r>
    </w:p>
    <w:p w14:paraId="2C784860" w14:textId="6C231CA9" w:rsidR="00091906" w:rsidRDefault="00091906" w:rsidP="00091906">
      <w:pPr>
        <w:pStyle w:val="abc"/>
      </w:pPr>
      <w:r>
        <w:t>β) Η μάζα του Β σώματος.</w:t>
      </w:r>
    </w:p>
    <w:p w14:paraId="5BF3A708" w14:textId="37D92C43" w:rsidR="00091906" w:rsidRDefault="00091906" w:rsidP="00091906">
      <w:pPr>
        <w:pStyle w:val="abc"/>
      </w:pPr>
      <w:r>
        <w:t xml:space="preserve">γ) </w:t>
      </w:r>
      <w:r w:rsidR="00D76DC8">
        <w:t>Οι</w:t>
      </w:r>
      <w:r>
        <w:t xml:space="preserve"> </w:t>
      </w:r>
      <w:r w:rsidR="00D76DC8">
        <w:t>ταχύτητες των δύο σωμάτων, ελάχιστα πριν την κρούση.</w:t>
      </w:r>
    </w:p>
    <w:p w14:paraId="3BEAE346" w14:textId="24B7782D" w:rsidR="00E02C66" w:rsidRPr="00E02C66" w:rsidRDefault="00E02C66" w:rsidP="00091906">
      <w:pPr>
        <w:pStyle w:val="abc"/>
      </w:pPr>
      <w:r>
        <w:t>Δίνεται g=10m/s</w:t>
      </w:r>
      <w:r>
        <w:rPr>
          <w:vertAlign w:val="superscript"/>
        </w:rPr>
        <w:t>2</w:t>
      </w:r>
      <w:r w:rsidR="00865FCD">
        <w:t>, ενώ τα δυο σώματα θεωρούνται υλικά σημεία, αμελητέων διαστάσεων.</w:t>
      </w:r>
    </w:p>
    <w:p w14:paraId="74A4A352" w14:textId="4E348098" w:rsidR="00091906" w:rsidRDefault="00091906" w:rsidP="00091906">
      <w:pPr>
        <w:pStyle w:val="a9"/>
      </w:pPr>
      <w:r>
        <w:t>Απάντηση:</w:t>
      </w:r>
    </w:p>
    <w:p w14:paraId="32CAF8E4" w14:textId="13428880" w:rsidR="00F36165" w:rsidRDefault="00000000" w:rsidP="00F36165">
      <w:pPr>
        <w:pStyle w:val="i"/>
      </w:pPr>
      <w:r>
        <w:rPr>
          <w:noProof/>
        </w:rPr>
        <w:object w:dxaOrig="1440" w:dyaOrig="1440" w14:anchorId="3D98CC5B">
          <v:shape id="_x0000_s1026" type="#_x0000_t75" style="position:absolute;left:0;text-align:left;margin-left:364.4pt;margin-top:4.15pt;width:116.25pt;height:103.5pt;z-index:251659264;mso-position-horizontal-relative:text;mso-position-vertical-relative:text;mso-width-relative:page;mso-height-relative:page" filled="t" fillcolor="#ffc">
            <v:imagedata r:id="rId10" o:title=""/>
            <w10:wrap type="square"/>
          </v:shape>
          <o:OLEObject Type="Embed" ProgID="Visio.Drawing.11" ShapeID="_x0000_s1026" DrawAspect="Content" ObjectID="_1824799129" r:id="rId11"/>
        </w:object>
      </w:r>
      <w:r w:rsidR="00F36165">
        <w:t>Τη στιγμή t=0 που αφήνουμε το σώμα Α να ταλαντωθεί, το ελατήριο έχει το ελάχιστο μήκος του 0,7m, το οποίο στη συνέχεια αυξάνεται. Αυτό σημαίνει ότι η εκτροπή έγινε προς τα πάνω και το σώμα θα κινηθεί προς τα κάτω, αυξάνοντας το μήκος του ελατηρίου.</w:t>
      </w:r>
    </w:p>
    <w:p w14:paraId="43FBA901" w14:textId="0C696456" w:rsidR="00F36165" w:rsidRDefault="00F36165" w:rsidP="00F36165">
      <w:pPr>
        <w:pStyle w:val="i"/>
      </w:pPr>
      <w:r>
        <w:t>Αν τώρα αρχικά η επιτάχυνση του σώματος έχει μέτρο ίσο με g, αυτό σημαίνει ότι στην αρχική θέση, η μόνη δύναμη που δέχεται είναι το βάρος, συνεπώς το ελατήριο έχει το φυσικό μήκος του</w:t>
      </w:r>
      <w:r w:rsidR="00BF428A">
        <w:t xml:space="preserve">, </w:t>
      </w:r>
      <w:r w:rsidR="00865FCD">
        <w:t>άρα</w:t>
      </w:r>
      <w:r w:rsidR="00BF428A">
        <w:t xml:space="preserve"> L</w:t>
      </w:r>
      <w:r w:rsidR="00BF428A">
        <w:rPr>
          <w:vertAlign w:val="subscript"/>
        </w:rPr>
        <w:t>0</w:t>
      </w:r>
      <w:r w:rsidR="00BF428A">
        <w:t>=0,7m.</w:t>
      </w:r>
    </w:p>
    <w:p w14:paraId="081A67CC" w14:textId="56A68866" w:rsidR="00411779" w:rsidRPr="00F36165" w:rsidRDefault="00411779" w:rsidP="00F36165">
      <w:pPr>
        <w:pStyle w:val="i"/>
      </w:pPr>
      <w:r>
        <w:t xml:space="preserve">Με βάση το διάγραμμα, το μήκος του ελατηρίου μεταβάλλεται από 0,7m σε 1,3m,  γύρω από την τιμή </w:t>
      </w:r>
      <w:r>
        <w:lastRenderedPageBreak/>
        <w:t>1,0m. Αυτό σημαίνει ότι το</w:t>
      </w:r>
      <w:r w:rsidR="00865FCD">
        <w:t xml:space="preserve"> μήκος του </w:t>
      </w:r>
      <w:r w:rsidR="00A13106">
        <w:t>ελατηρίου</w:t>
      </w:r>
      <w:r w:rsidR="00865FCD">
        <w:t xml:space="preserve"> L=</w:t>
      </w:r>
      <w:r>
        <w:t>1,0m αντιστοιχεί στη θέση ισορροπίας του σώματος και το πλάτος ταλάντωσης είναι ίσο με Α</w:t>
      </w:r>
      <w:r>
        <w:rPr>
          <w:vertAlign w:val="subscript"/>
        </w:rPr>
        <w:t>1</w:t>
      </w:r>
      <w:r>
        <w:t>=0,3m.</w:t>
      </w:r>
    </w:p>
    <w:p w14:paraId="66737A86" w14:textId="2183EA72" w:rsidR="002A2A85" w:rsidRDefault="00D76DC8" w:rsidP="00D76DC8">
      <w:pPr>
        <w:pStyle w:val="i"/>
      </w:pPr>
      <w:r>
        <w:t>Η κρούση πραγματοποιείται τη στιγμή t</w:t>
      </w:r>
      <w:r>
        <w:rPr>
          <w:vertAlign w:val="subscript"/>
        </w:rPr>
        <w:t>1</w:t>
      </w:r>
      <w:r>
        <w:t>, όπου το σώμα περνά από την θέση ισορροπίας του και με το μήκος του ελατηρίου να αυξάνεται. Πράγμα που σημαίνει ότι το σώμα κινείται προς τα κάτω επιμηκύνοντας το ελατήριο.</w:t>
      </w:r>
    </w:p>
    <w:p w14:paraId="2EE23203" w14:textId="70E9B638" w:rsidR="00D76DC8" w:rsidRDefault="00D76DC8" w:rsidP="00D76DC8">
      <w:pPr>
        <w:pStyle w:val="i"/>
      </w:pPr>
      <w:r>
        <w:t xml:space="preserve">Βλέποντας το διάγραμμα διαπιστώνουμε ότι μετά την κρούση, έχουμε δύο αλλαγές στην ταλάντωση: </w:t>
      </w:r>
    </w:p>
    <w:p w14:paraId="44D5CA4B" w14:textId="6671A207" w:rsidR="00B05D03" w:rsidRDefault="00B05D03" w:rsidP="00B05D03">
      <w:pPr>
        <w:ind w:left="340"/>
      </w:pPr>
      <w:r>
        <w:t>a)  Αλλάζει η θέση ισορροπίας, όπου στη νέα θέση το μήκος του ελατηρίου είναι 1,3m και ταυτόχρονα</w:t>
      </w:r>
    </w:p>
    <w:p w14:paraId="062297C6" w14:textId="62FF445D" w:rsidR="00B05D03" w:rsidRDefault="00B05D03" w:rsidP="00B05D03">
      <w:pPr>
        <w:ind w:left="340"/>
      </w:pPr>
      <w:r>
        <w:t>b) η περίοδος ταλάντωσης αυξάνεται.</w:t>
      </w:r>
    </w:p>
    <w:p w14:paraId="1BEC7611" w14:textId="13A2C07B" w:rsidR="00B05D03" w:rsidRDefault="00B05D03" w:rsidP="00B05D03">
      <w:pPr>
        <w:ind w:left="340"/>
      </w:pPr>
      <w:r>
        <w:t xml:space="preserve">Και οι δύο αυτές παρατηρήσεις </w:t>
      </w:r>
      <w:r w:rsidR="00865FCD">
        <w:t xml:space="preserve">ερμηνεύονται στη λογική </w:t>
      </w:r>
      <w:r>
        <w:t>αύξησης της μάζας</w:t>
      </w:r>
      <w:r w:rsidR="00865FCD">
        <w:t xml:space="preserve"> που ταλαντώνεται,</w:t>
      </w:r>
      <w:r>
        <w:t xml:space="preserve"> η οποία προκύπτει λόγω πλαστικής κρούσης και της δημιουργίας συσσωματώματος</w:t>
      </w:r>
      <w:r w:rsidR="00865FCD">
        <w:t>, αφού τότε</w:t>
      </w:r>
      <w:r>
        <w:t xml:space="preserve"> m=m</w:t>
      </w:r>
      <w:r>
        <w:rPr>
          <w:vertAlign w:val="subscript"/>
        </w:rPr>
        <w:t>1</w:t>
      </w:r>
      <w:r>
        <w:t>+m</w:t>
      </w:r>
      <w:r>
        <w:rPr>
          <w:vertAlign w:val="subscript"/>
        </w:rPr>
        <w:t>2</w:t>
      </w:r>
      <w:r>
        <w:t>.</w:t>
      </w:r>
    </w:p>
    <w:p w14:paraId="38A5A3B6" w14:textId="5C4DF56D" w:rsidR="006101D6" w:rsidRDefault="00000000" w:rsidP="00FC673D">
      <w:pPr>
        <w:pStyle w:val="i"/>
      </w:pPr>
      <w:r>
        <w:rPr>
          <w:noProof/>
        </w:rPr>
        <w:object w:dxaOrig="1440" w:dyaOrig="1440" w14:anchorId="4904AA5A">
          <v:shape id="_x0000_s1027" type="#_x0000_t75" style="position:absolute;left:0;text-align:left;margin-left:325.05pt;margin-top:5.35pt;width:157.9pt;height:137.65pt;z-index:251661312;mso-position-horizontal-relative:text;mso-position-vertical-relative:text;mso-width-relative:page;mso-height-relative:page" filled="t" fillcolor="#ffc">
            <v:imagedata r:id="rId12" o:title=""/>
            <w10:wrap type="square"/>
          </v:shape>
          <o:OLEObject Type="Embed" ProgID="Visio.Drawing.11" ShapeID="_x0000_s1027" DrawAspect="Content" ObjectID="_1824799130" r:id="rId13"/>
        </w:object>
      </w:r>
      <w:r w:rsidR="00FC673D">
        <w:t>Η ταλάντωση  μετά την κρούση πραγματοποιείται γύρω από μια νέα θέση ισορροπίας, όπου το ελατήριο έχει μήκος 1,3m και με πλάτος Α</w:t>
      </w:r>
      <w:r w:rsidR="00FC673D">
        <w:rPr>
          <w:vertAlign w:val="subscript"/>
        </w:rPr>
        <w:t>2</w:t>
      </w:r>
      <w:r w:rsidR="00FC673D">
        <w:t>=1,6m-1,3m=0,3m = Α</w:t>
      </w:r>
      <w:r w:rsidR="00FC673D">
        <w:rPr>
          <w:vertAlign w:val="subscript"/>
        </w:rPr>
        <w:t>1</w:t>
      </w:r>
      <w:r w:rsidR="00FC673D">
        <w:t xml:space="preserve">, όπως φαίνεται και στο διπλανό σχήμα. </w:t>
      </w:r>
    </w:p>
    <w:p w14:paraId="439884D9" w14:textId="7AA1A986" w:rsidR="00E02C66" w:rsidRDefault="00E02C66" w:rsidP="00E02C66">
      <w:pPr>
        <w:pStyle w:val="abc"/>
      </w:pPr>
      <w:r>
        <w:t>α) Για την αρχική θέση ισορροπίας (Θ.Ι.</w:t>
      </w:r>
      <w:r>
        <w:rPr>
          <w:vertAlign w:val="subscript"/>
        </w:rPr>
        <w:t>1</w:t>
      </w:r>
      <w:r>
        <w:t>) ισχύει:</w:t>
      </w:r>
    </w:p>
    <w:p w14:paraId="1A4D944C" w14:textId="379BA1C6" w:rsidR="00E02C66" w:rsidRDefault="00CA2707" w:rsidP="00CA2707">
      <w:pPr>
        <w:pStyle w:val="abc"/>
        <w:jc w:val="center"/>
      </w:pPr>
      <w:r w:rsidRPr="00CA2707">
        <w:rPr>
          <w:position w:val="-48"/>
        </w:rPr>
        <w:object w:dxaOrig="5380" w:dyaOrig="1080" w14:anchorId="36181BCB">
          <v:shape id="_x0000_i1028" type="#_x0000_t75" style="width:268.9pt;height:53.9pt" o:ole="">
            <v:imagedata r:id="rId14" o:title=""/>
          </v:shape>
          <o:OLEObject Type="Embed" ProgID="Equation.DSMT4" ShapeID="_x0000_i1028" DrawAspect="Content" ObjectID="_1824799124" r:id="rId15"/>
        </w:object>
      </w:r>
    </w:p>
    <w:p w14:paraId="3B077FE5" w14:textId="012970EA" w:rsidR="00AA18BA" w:rsidRDefault="00AA18BA" w:rsidP="00AA18BA">
      <w:pPr>
        <w:pStyle w:val="abc"/>
      </w:pPr>
      <w:r>
        <w:t xml:space="preserve">β)  Για την </w:t>
      </w:r>
      <w:r w:rsidR="00865FCD">
        <w:t>νέα</w:t>
      </w:r>
      <w:r>
        <w:t xml:space="preserve"> θέση ισορροπίας (Θ.Ι.</w:t>
      </w:r>
      <w:r>
        <w:rPr>
          <w:vertAlign w:val="subscript"/>
        </w:rPr>
        <w:t>2</w:t>
      </w:r>
      <w:r>
        <w:t>) μετά την κρούση, με τον ίδιο τρόπο βρίσκουμε:</w:t>
      </w:r>
    </w:p>
    <w:p w14:paraId="17572CB0" w14:textId="52B3DD3E" w:rsidR="00AA18BA" w:rsidRDefault="000C590A" w:rsidP="000C590A">
      <w:pPr>
        <w:pStyle w:val="abc"/>
        <w:jc w:val="center"/>
      </w:pPr>
      <w:r w:rsidRPr="000C590A">
        <w:rPr>
          <w:position w:val="-48"/>
        </w:rPr>
        <w:object w:dxaOrig="6800" w:dyaOrig="1080" w14:anchorId="13DC708D">
          <v:shape id="_x0000_i1029" type="#_x0000_t75" style="width:339.9pt;height:53.9pt" o:ole="">
            <v:imagedata r:id="rId16" o:title=""/>
          </v:shape>
          <o:OLEObject Type="Embed" ProgID="Equation.DSMT4" ShapeID="_x0000_i1029" DrawAspect="Content" ObjectID="_1824799125" r:id="rId17"/>
        </w:object>
      </w:r>
    </w:p>
    <w:p w14:paraId="59C80478" w14:textId="375FB828" w:rsidR="000C590A" w:rsidRDefault="00BF153D" w:rsidP="00BF153D">
      <w:pPr>
        <w:ind w:left="624"/>
      </w:pPr>
      <w:r>
        <w:t>Τα δυο σώματα έχουν ίσες μάζες και προκαλούν ίσες παραμορφώσεις στο ελατήριο…</w:t>
      </w:r>
    </w:p>
    <w:p w14:paraId="5440B953" w14:textId="04D033F5" w:rsidR="006F572B" w:rsidRDefault="006F572B" w:rsidP="006F572B">
      <w:pPr>
        <w:pStyle w:val="abc"/>
      </w:pPr>
      <w:r>
        <w:t>γ) Μετά την κρούση, το συσσωμάτωμα βρίσκεται σε θέση πλάτους της νέας ταλάντωσης, συνεπώς έχει μηδενική ταχύτητα. Αλλά τότε εφαρμόζοντας την αρχή διατήρησης της ορμής για την κρούση, παίρνουμε:</w:t>
      </w:r>
    </w:p>
    <w:p w14:paraId="7300EBD7" w14:textId="09B1C77D" w:rsidR="006F572B" w:rsidRDefault="00292EC4" w:rsidP="00292EC4">
      <w:pPr>
        <w:pStyle w:val="abc"/>
        <w:jc w:val="center"/>
      </w:pPr>
      <w:r w:rsidRPr="006F572B">
        <w:rPr>
          <w:position w:val="-14"/>
        </w:rPr>
        <w:object w:dxaOrig="4599" w:dyaOrig="400" w14:anchorId="7007FC57">
          <v:shape id="_x0000_i1030" type="#_x0000_t75" style="width:230.05pt;height:19.75pt" o:ole="">
            <v:imagedata r:id="rId18" o:title=""/>
          </v:shape>
          <o:OLEObject Type="Embed" ProgID="Equation.DSMT4" ShapeID="_x0000_i1030" DrawAspect="Content" ObjectID="_1824799126" r:id="rId19"/>
        </w:object>
      </w:r>
    </w:p>
    <w:p w14:paraId="76162EEB" w14:textId="08057F6D" w:rsidR="002352CA" w:rsidRDefault="002352CA" w:rsidP="002352CA">
      <w:pPr>
        <w:ind w:left="624"/>
      </w:pPr>
      <w:r>
        <w:t>Αλλά θεωρώντας την προς τα πάνω κατεύθυνση θετική, το σώμα Α ελάχιστα πριν την κρούση κινείται προς τα κάτω έχοντας  ταχύτητα:</w:t>
      </w:r>
    </w:p>
    <w:p w14:paraId="62C5E6E3" w14:textId="00D67867" w:rsidR="002352CA" w:rsidRDefault="00AF0A8C" w:rsidP="00AF0A8C">
      <w:pPr>
        <w:ind w:left="624"/>
        <w:jc w:val="center"/>
      </w:pPr>
      <w:r w:rsidRPr="002352CA">
        <w:rPr>
          <w:position w:val="-32"/>
        </w:rPr>
        <w:object w:dxaOrig="7020" w:dyaOrig="760" w14:anchorId="6967ABF1">
          <v:shape id="_x0000_i1031" type="#_x0000_t75" style="width:350.95pt;height:37.85pt" o:ole="">
            <v:imagedata r:id="rId20" o:title=""/>
          </v:shape>
          <o:OLEObject Type="Embed" ProgID="Equation.DSMT4" ShapeID="_x0000_i1031" DrawAspect="Content" ObjectID="_1824799127" r:id="rId21"/>
        </w:object>
      </w:r>
    </w:p>
    <w:p w14:paraId="268FAA77" w14:textId="6984381A" w:rsidR="00AF0A8C" w:rsidRDefault="00AF0A8C" w:rsidP="00AF0A8C">
      <w:pPr>
        <w:ind w:left="624"/>
      </w:pPr>
      <w:r>
        <w:t xml:space="preserve">Συνεπώς το σώμα Β έχει ταχύτητα </w:t>
      </w:r>
      <w:r w:rsidRPr="00AF0A8C">
        <w:rPr>
          <w:position w:val="-12"/>
        </w:rPr>
        <w:object w:dxaOrig="1280" w:dyaOrig="400" w14:anchorId="326A95C5">
          <v:shape id="_x0000_i1032" type="#_x0000_t75" style="width:63.95pt;height:19.75pt" o:ole="">
            <v:imagedata r:id="rId22" o:title=""/>
          </v:shape>
          <o:OLEObject Type="Embed" ProgID="Equation.DSMT4" ShapeID="_x0000_i1032" DrawAspect="Content" ObjectID="_1824799128" r:id="rId23"/>
        </w:object>
      </w:r>
      <w:r>
        <w:t>.</w:t>
      </w:r>
    </w:p>
    <w:p w14:paraId="3026FE36" w14:textId="1EDB7175" w:rsidR="00AF0A8C" w:rsidRPr="00AA18BA" w:rsidRDefault="00000E4C" w:rsidP="00000E4C">
      <w:pPr>
        <w:pStyle w:val="a9"/>
        <w:jc w:val="right"/>
      </w:pPr>
      <w:r>
        <w:t>dmargaris@gmail.com</w:t>
      </w:r>
    </w:p>
    <w:sectPr w:rsidR="00AF0A8C" w:rsidRPr="00AA18BA">
      <w:headerReference w:type="default" r:id="rId24"/>
      <w:footerReference w:type="default" r:id="rId2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7D52" w14:textId="77777777" w:rsidR="0028694C" w:rsidRDefault="0028694C">
      <w:pPr>
        <w:spacing w:line="240" w:lineRule="auto"/>
      </w:pPr>
      <w:r>
        <w:separator/>
      </w:r>
    </w:p>
  </w:endnote>
  <w:endnote w:type="continuationSeparator" w:id="0">
    <w:p w14:paraId="49557D59" w14:textId="77777777" w:rsidR="0028694C" w:rsidRDefault="00286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673A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7FED611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6671448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C5E2" w14:textId="77777777" w:rsidR="0028694C" w:rsidRDefault="0028694C">
      <w:pPr>
        <w:spacing w:after="0"/>
      </w:pPr>
      <w:r>
        <w:separator/>
      </w:r>
    </w:p>
  </w:footnote>
  <w:footnote w:type="continuationSeparator" w:id="0">
    <w:p w14:paraId="69D23A83" w14:textId="77777777" w:rsidR="0028694C" w:rsidRDefault="002869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F9D6" w14:textId="09617F3C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F56938">
      <w:rPr>
        <w:i/>
      </w:rPr>
      <w:t>Ταλαντώσεις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F695D"/>
    <w:multiLevelType w:val="hybridMultilevel"/>
    <w:tmpl w:val="6D4422EA"/>
    <w:lvl w:ilvl="0" w:tplc="C6D68ED0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6" w15:restartNumberingAfterBreak="0">
    <w:nsid w:val="495C24B4"/>
    <w:multiLevelType w:val="multilevel"/>
    <w:tmpl w:val="B9A8F3A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E4D2A2A"/>
    <w:multiLevelType w:val="multilevel"/>
    <w:tmpl w:val="6ED44F1A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9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6"/>
  </w:num>
  <w:num w:numId="2" w16cid:durableId="1975021802">
    <w:abstractNumId w:val="7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8"/>
  </w:num>
  <w:num w:numId="6" w16cid:durableId="445151668">
    <w:abstractNumId w:val="0"/>
  </w:num>
  <w:num w:numId="7" w16cid:durableId="1261334555">
    <w:abstractNumId w:val="5"/>
  </w:num>
  <w:num w:numId="8" w16cid:durableId="1946422978">
    <w:abstractNumId w:val="9"/>
  </w:num>
  <w:num w:numId="9" w16cid:durableId="45379742">
    <w:abstractNumId w:val="1"/>
  </w:num>
  <w:num w:numId="10" w16cid:durableId="939987909">
    <w:abstractNumId w:val="7"/>
  </w:num>
  <w:num w:numId="11" w16cid:durableId="807358910">
    <w:abstractNumId w:val="7"/>
  </w:num>
  <w:num w:numId="12" w16cid:durableId="1029524796">
    <w:abstractNumId w:val="6"/>
  </w:num>
  <w:num w:numId="13" w16cid:durableId="259945634">
    <w:abstractNumId w:val="6"/>
  </w:num>
  <w:num w:numId="14" w16cid:durableId="1780635951">
    <w:abstractNumId w:val="6"/>
  </w:num>
  <w:num w:numId="15" w16cid:durableId="1016156033">
    <w:abstractNumId w:val="6"/>
  </w:num>
  <w:num w:numId="16" w16cid:durableId="2063556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38"/>
    <w:rsid w:val="00000E4C"/>
    <w:rsid w:val="00023972"/>
    <w:rsid w:val="00026D66"/>
    <w:rsid w:val="00036472"/>
    <w:rsid w:val="00043134"/>
    <w:rsid w:val="00053396"/>
    <w:rsid w:val="00055507"/>
    <w:rsid w:val="00060EF4"/>
    <w:rsid w:val="000679A2"/>
    <w:rsid w:val="000912E3"/>
    <w:rsid w:val="00091906"/>
    <w:rsid w:val="00091E43"/>
    <w:rsid w:val="0009571B"/>
    <w:rsid w:val="000A5A2D"/>
    <w:rsid w:val="000B48D3"/>
    <w:rsid w:val="000B7E68"/>
    <w:rsid w:val="000C397A"/>
    <w:rsid w:val="000C590A"/>
    <w:rsid w:val="000D78E0"/>
    <w:rsid w:val="0012203A"/>
    <w:rsid w:val="00157DCF"/>
    <w:rsid w:val="001664A5"/>
    <w:rsid w:val="001764F7"/>
    <w:rsid w:val="00191C12"/>
    <w:rsid w:val="00194ED4"/>
    <w:rsid w:val="001B25B2"/>
    <w:rsid w:val="001B45D6"/>
    <w:rsid w:val="001C5136"/>
    <w:rsid w:val="001C542B"/>
    <w:rsid w:val="00224D9E"/>
    <w:rsid w:val="002352CA"/>
    <w:rsid w:val="0028694C"/>
    <w:rsid w:val="00292EC4"/>
    <w:rsid w:val="00296F90"/>
    <w:rsid w:val="002A2A85"/>
    <w:rsid w:val="002C4684"/>
    <w:rsid w:val="002D7F84"/>
    <w:rsid w:val="002F481E"/>
    <w:rsid w:val="003034D4"/>
    <w:rsid w:val="003048E4"/>
    <w:rsid w:val="003272C2"/>
    <w:rsid w:val="00334BD8"/>
    <w:rsid w:val="00335460"/>
    <w:rsid w:val="00342B66"/>
    <w:rsid w:val="00357D4A"/>
    <w:rsid w:val="003623AB"/>
    <w:rsid w:val="00371533"/>
    <w:rsid w:val="0039013D"/>
    <w:rsid w:val="003959A8"/>
    <w:rsid w:val="003A6C4E"/>
    <w:rsid w:val="003A77A4"/>
    <w:rsid w:val="003B1E98"/>
    <w:rsid w:val="003B32B0"/>
    <w:rsid w:val="003B4900"/>
    <w:rsid w:val="003B622F"/>
    <w:rsid w:val="003D2058"/>
    <w:rsid w:val="003D5C81"/>
    <w:rsid w:val="003E1678"/>
    <w:rsid w:val="003E53D7"/>
    <w:rsid w:val="00403C6B"/>
    <w:rsid w:val="00411779"/>
    <w:rsid w:val="0041752B"/>
    <w:rsid w:val="00430289"/>
    <w:rsid w:val="0044454D"/>
    <w:rsid w:val="00465544"/>
    <w:rsid w:val="00465D8E"/>
    <w:rsid w:val="00470A0F"/>
    <w:rsid w:val="0047288B"/>
    <w:rsid w:val="00480ADE"/>
    <w:rsid w:val="00485825"/>
    <w:rsid w:val="004B1BA7"/>
    <w:rsid w:val="004C0760"/>
    <w:rsid w:val="004D5608"/>
    <w:rsid w:val="004F7518"/>
    <w:rsid w:val="00503A3E"/>
    <w:rsid w:val="0050788A"/>
    <w:rsid w:val="00555184"/>
    <w:rsid w:val="00555BC9"/>
    <w:rsid w:val="0055699C"/>
    <w:rsid w:val="00572886"/>
    <w:rsid w:val="00585132"/>
    <w:rsid w:val="005B728E"/>
    <w:rsid w:val="005C059F"/>
    <w:rsid w:val="005F0D9F"/>
    <w:rsid w:val="006101D6"/>
    <w:rsid w:val="0064303C"/>
    <w:rsid w:val="00667E23"/>
    <w:rsid w:val="00687B49"/>
    <w:rsid w:val="006A7FA9"/>
    <w:rsid w:val="006B0BFD"/>
    <w:rsid w:val="006B2BCA"/>
    <w:rsid w:val="006C3491"/>
    <w:rsid w:val="006C5EB6"/>
    <w:rsid w:val="006E4ABE"/>
    <w:rsid w:val="006E6A87"/>
    <w:rsid w:val="006F572B"/>
    <w:rsid w:val="006F5F92"/>
    <w:rsid w:val="00717932"/>
    <w:rsid w:val="00736498"/>
    <w:rsid w:val="00744C3F"/>
    <w:rsid w:val="00757BF7"/>
    <w:rsid w:val="00774F6B"/>
    <w:rsid w:val="007B35C2"/>
    <w:rsid w:val="007B36AF"/>
    <w:rsid w:val="007B4E4A"/>
    <w:rsid w:val="007C1980"/>
    <w:rsid w:val="007D112E"/>
    <w:rsid w:val="007D7637"/>
    <w:rsid w:val="007E115B"/>
    <w:rsid w:val="007F4EE5"/>
    <w:rsid w:val="00814FD8"/>
    <w:rsid w:val="0081576D"/>
    <w:rsid w:val="00844E46"/>
    <w:rsid w:val="008654BE"/>
    <w:rsid w:val="00865FCD"/>
    <w:rsid w:val="00873F39"/>
    <w:rsid w:val="0087491C"/>
    <w:rsid w:val="008945AD"/>
    <w:rsid w:val="00897257"/>
    <w:rsid w:val="008E37F5"/>
    <w:rsid w:val="008E6534"/>
    <w:rsid w:val="008F3C3C"/>
    <w:rsid w:val="008F70FE"/>
    <w:rsid w:val="00923AB1"/>
    <w:rsid w:val="009675D3"/>
    <w:rsid w:val="009A1C4D"/>
    <w:rsid w:val="009B3F35"/>
    <w:rsid w:val="009C0E68"/>
    <w:rsid w:val="009F636C"/>
    <w:rsid w:val="00A13106"/>
    <w:rsid w:val="00A15C87"/>
    <w:rsid w:val="00A3696C"/>
    <w:rsid w:val="00A54F11"/>
    <w:rsid w:val="00A63C35"/>
    <w:rsid w:val="00AA18BA"/>
    <w:rsid w:val="00AA662C"/>
    <w:rsid w:val="00AB4935"/>
    <w:rsid w:val="00AB5522"/>
    <w:rsid w:val="00AC5AC3"/>
    <w:rsid w:val="00AE0040"/>
    <w:rsid w:val="00AF0A8C"/>
    <w:rsid w:val="00B05D03"/>
    <w:rsid w:val="00B11C3D"/>
    <w:rsid w:val="00B32221"/>
    <w:rsid w:val="00B344E9"/>
    <w:rsid w:val="00B368DC"/>
    <w:rsid w:val="00B43F62"/>
    <w:rsid w:val="00B6619A"/>
    <w:rsid w:val="00B81A9F"/>
    <w:rsid w:val="00B820C2"/>
    <w:rsid w:val="00BB3001"/>
    <w:rsid w:val="00BF153D"/>
    <w:rsid w:val="00BF428A"/>
    <w:rsid w:val="00C70467"/>
    <w:rsid w:val="00CA2707"/>
    <w:rsid w:val="00CA4C94"/>
    <w:rsid w:val="00CA7A43"/>
    <w:rsid w:val="00CE6816"/>
    <w:rsid w:val="00D045EF"/>
    <w:rsid w:val="00D50B27"/>
    <w:rsid w:val="00D533FC"/>
    <w:rsid w:val="00D63D0F"/>
    <w:rsid w:val="00D6552E"/>
    <w:rsid w:val="00D76DC8"/>
    <w:rsid w:val="00D82210"/>
    <w:rsid w:val="00D97305"/>
    <w:rsid w:val="00DA0155"/>
    <w:rsid w:val="00DA1226"/>
    <w:rsid w:val="00DA50FD"/>
    <w:rsid w:val="00DB03A5"/>
    <w:rsid w:val="00DB77D1"/>
    <w:rsid w:val="00DC2BFE"/>
    <w:rsid w:val="00DC3154"/>
    <w:rsid w:val="00DE1D3D"/>
    <w:rsid w:val="00DE424E"/>
    <w:rsid w:val="00DE49E1"/>
    <w:rsid w:val="00DF39E3"/>
    <w:rsid w:val="00DF4F17"/>
    <w:rsid w:val="00E02C66"/>
    <w:rsid w:val="00E210D0"/>
    <w:rsid w:val="00E37CC9"/>
    <w:rsid w:val="00EA64C4"/>
    <w:rsid w:val="00EB2362"/>
    <w:rsid w:val="00EB6640"/>
    <w:rsid w:val="00EC01AB"/>
    <w:rsid w:val="00EC58B1"/>
    <w:rsid w:val="00EC647B"/>
    <w:rsid w:val="00EE1786"/>
    <w:rsid w:val="00EE7957"/>
    <w:rsid w:val="00F36165"/>
    <w:rsid w:val="00F56938"/>
    <w:rsid w:val="00F57374"/>
    <w:rsid w:val="00F6515A"/>
    <w:rsid w:val="00F66882"/>
    <w:rsid w:val="00F6705E"/>
    <w:rsid w:val="00F71F26"/>
    <w:rsid w:val="00F73155"/>
    <w:rsid w:val="00F948EA"/>
    <w:rsid w:val="00F96097"/>
    <w:rsid w:val="00FA0CD8"/>
    <w:rsid w:val="00FA6CE6"/>
    <w:rsid w:val="00FA7D40"/>
    <w:rsid w:val="00FB67CF"/>
    <w:rsid w:val="00FB6B94"/>
    <w:rsid w:val="00FC673D"/>
    <w:rsid w:val="00FD5331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fc"/>
    </o:shapedefaults>
    <o:shapelayout v:ext="edit">
      <o:idmap v:ext="edit" data="1"/>
    </o:shapelayout>
  </w:shapeDefaults>
  <w:decimalSymbol w:val=","/>
  <w:listSeparator w:val=";"/>
  <w14:docId w14:val="6C95A679"/>
  <w15:docId w15:val="{87378E24-619A-4C5A-A026-FC29EE41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6B2BCA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1C542B"/>
    <w:pPr>
      <w:numPr>
        <w:ilvl w:val="1"/>
        <w:numId w:val="15"/>
      </w:numPr>
      <w:tabs>
        <w:tab w:val="clear" w:pos="680"/>
      </w:tabs>
      <w:spacing w:after="0"/>
      <w:ind w:left="454" w:hanging="284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091906"/>
    <w:pPr>
      <w:ind w:left="624" w:hanging="284"/>
    </w:pPr>
  </w:style>
  <w:style w:type="character" w:customStyle="1" w:styleId="1Char">
    <w:name w:val="Επικεφαλίδα 1 Char"/>
    <w:basedOn w:val="a2"/>
    <w:link w:val="11"/>
    <w:qFormat/>
    <w:rsid w:val="006B2BC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5F0D9F"/>
    <w:pPr>
      <w:numPr>
        <w:numId w:val="11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296F90"/>
    <w:pPr>
      <w:keepNext w:val="0"/>
      <w:keepLines w:val="0"/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paragraph" w:customStyle="1" w:styleId="ad">
    <w:name w:val="κανονικό"/>
    <w:basedOn w:val="a1"/>
    <w:link w:val="Char3"/>
    <w:qFormat/>
    <w:rsid w:val="002A2A85"/>
    <w:rPr>
      <w:lang w:eastAsia="zh-CN"/>
    </w:rPr>
  </w:style>
  <w:style w:type="character" w:customStyle="1" w:styleId="Char3">
    <w:name w:val="κανονικό Char"/>
    <w:basedOn w:val="a2"/>
    <w:link w:val="ad"/>
    <w:rsid w:val="002A2A85"/>
    <w:rPr>
      <w:rFonts w:ascii="Times New Roman" w:hAnsi="Times New Roman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2</TotalTime>
  <Pages>2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Dionysis Margaris</dc:creator>
  <cp:keywords/>
  <dc:description/>
  <cp:lastModifiedBy>Διονύσης Μάργαρης</cp:lastModifiedBy>
  <cp:revision>2</cp:revision>
  <cp:lastPrinted>2024-12-03T07:26:00Z</cp:lastPrinted>
  <dcterms:created xsi:type="dcterms:W3CDTF">2025-11-16T09:52:00Z</dcterms:created>
  <dcterms:modified xsi:type="dcterms:W3CDTF">2025-11-16T09:52:00Z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