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FF06" w14:textId="7D272085" w:rsidR="00D533FC" w:rsidRPr="00AA7C21" w:rsidRDefault="0023211A" w:rsidP="0023211A">
      <w:pPr>
        <w:pStyle w:val="11"/>
      </w:pPr>
      <w:r>
        <w:t>Οι ταχύτητες δύο κινητών στους ίδιους άξονες.</w:t>
      </w:r>
    </w:p>
    <w:p w14:paraId="61DE615E" w14:textId="0344F216" w:rsidR="007C3D0B" w:rsidRDefault="00000000" w:rsidP="0064168E">
      <w:r>
        <w:rPr>
          <w:noProof/>
        </w:rPr>
        <w:object w:dxaOrig="1440" w:dyaOrig="1440" w14:anchorId="06D46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2.2pt;margin-top:6pt;width:158.05pt;height:123.55pt;z-index:251659264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1" ShapeID="_x0000_s1026" DrawAspect="Content" ObjectID="_1824473702" r:id="rId9"/>
        </w:object>
      </w:r>
      <w:r w:rsidR="0023211A">
        <w:t xml:space="preserve"> Μετά την πρόσφατη ανάρτηση </w:t>
      </w:r>
      <w:r w:rsidR="007A43E4">
        <w:t>«</w:t>
      </w:r>
      <w:hyperlink r:id="rId10" w:tgtFrame="_blank" w:history="1">
        <w:r w:rsidR="007A43E4" w:rsidRPr="007A43E4">
          <w:rPr>
            <w:rStyle w:val="-"/>
            <w:b/>
            <w:bCs/>
          </w:rPr>
          <w:t>Γραφική παράσταση σε κοινούς άξονες</w:t>
        </w:r>
      </w:hyperlink>
      <w:r w:rsidR="007A43E4">
        <w:t>»</w:t>
      </w:r>
      <w:r w:rsidR="003243DB">
        <w:t>, ας δούμε κάτι ανάλογο, αλλά με γραφικές παραστάσεις της ταχύτητας δύο κινητών.</w:t>
      </w:r>
    </w:p>
    <w:p w14:paraId="56B10577" w14:textId="0A874FAF" w:rsidR="003243DB" w:rsidRDefault="003243DB" w:rsidP="0064168E">
      <w:r>
        <w:t>Στο διπλανό διάγραμμα δίνονται οι γραφικές παραστάσεις της ταχύτητας δύο κινητών που κινούνται στον ίδιο ευθύγραμμο δρόμο. Το πρώτο κινητό (</w:t>
      </w:r>
      <w:r w:rsidR="00646034">
        <w:t>Α</w:t>
      </w:r>
      <w:r>
        <w:t>), με μπλε χρώμα η καμπύλη, κινείται με μεταβαλλόμενη επιτάχυνση ενώ τη στιγμή t=0 η καμπύλη εφάπτεται σε ευθεία (ε) παράλληλη στον άξονα των χρόνων.</w:t>
      </w:r>
    </w:p>
    <w:p w14:paraId="406BF00E" w14:textId="068A6FC8" w:rsidR="00646034" w:rsidRDefault="00646034" w:rsidP="00646034">
      <w:pPr>
        <w:pStyle w:val="10"/>
      </w:pPr>
      <w:r>
        <w:t>Ποια η αρχική επιτάχυνση του κινητού Α;</w:t>
      </w:r>
    </w:p>
    <w:p w14:paraId="75C75824" w14:textId="0A2C58B7" w:rsidR="00646034" w:rsidRDefault="002A74F9" w:rsidP="00B62BCE">
      <w:pPr>
        <w:pStyle w:val="10"/>
      </w:pPr>
      <w:r>
        <w:t xml:space="preserve">Αν η ευθεία </w:t>
      </w:r>
      <w:r w:rsidR="00A42E9C">
        <w:t>(με κόκκινο χρώμα) που δείχνει τη μεταβολή της ταχύτητας του Β κινητού, εφάπτεται στο σημείο Ρ της καμπύλης για το κινητό Α, να υπολογισθεί η  επιτάχυνση του Α κινητού τη στιγμή t</w:t>
      </w:r>
      <w:r w:rsidR="00A42E9C">
        <w:rPr>
          <w:vertAlign w:val="subscript"/>
        </w:rPr>
        <w:t>1</w:t>
      </w:r>
      <w:r w:rsidR="00A42E9C">
        <w:t>=4s.</w:t>
      </w:r>
    </w:p>
    <w:p w14:paraId="504D167C" w14:textId="55B90FD5" w:rsidR="00A42E9C" w:rsidRDefault="00A42E9C" w:rsidP="00646034">
      <w:pPr>
        <w:pStyle w:val="10"/>
      </w:pPr>
      <w:r>
        <w:t>Η μετατόπιση του κινητού Α τη στιγμή t</w:t>
      </w:r>
      <w:r>
        <w:rPr>
          <w:vertAlign w:val="subscript"/>
        </w:rPr>
        <w:t>1</w:t>
      </w:r>
      <w:r>
        <w:t xml:space="preserve"> είναι ίση:</w:t>
      </w:r>
    </w:p>
    <w:p w14:paraId="41BF6DF1" w14:textId="298989AC" w:rsidR="00A42E9C" w:rsidRDefault="00A42E9C" w:rsidP="00B62BCE">
      <w:pPr>
        <w:jc w:val="center"/>
      </w:pPr>
      <w:r>
        <w:t xml:space="preserve">α) </w:t>
      </w:r>
      <w:r w:rsidR="00B62BCE">
        <w:t>9</w:t>
      </w:r>
      <w:r w:rsidR="00C042C9">
        <w:t>m,</w:t>
      </w:r>
      <w:r w:rsidR="00B62BCE">
        <w:t xml:space="preserve">     </w:t>
      </w:r>
      <w:r w:rsidR="00C042C9">
        <w:t xml:space="preserve"> </w:t>
      </w:r>
      <w:r w:rsidR="00B62BCE">
        <w:t xml:space="preserve">   </w:t>
      </w:r>
      <w:r w:rsidR="00C042C9">
        <w:t>β)  10,4</w:t>
      </w:r>
      <w:r w:rsidR="00576528">
        <w:t xml:space="preserve"> </w:t>
      </w:r>
      <w:r w:rsidR="00C042C9">
        <w:t xml:space="preserve">m,  </w:t>
      </w:r>
      <w:r w:rsidR="00B62BCE">
        <w:t xml:space="preserve">     </w:t>
      </w:r>
      <w:r w:rsidR="00C042C9">
        <w:t>γ) 1</w:t>
      </w:r>
      <w:r w:rsidR="00B62BCE">
        <w:t>1</w:t>
      </w:r>
      <w:r w:rsidR="00576528">
        <w:t xml:space="preserve"> </w:t>
      </w:r>
      <w:r w:rsidR="00C042C9">
        <w:t>m.</w:t>
      </w:r>
    </w:p>
    <w:p w14:paraId="171CEA62" w14:textId="4E1AF928" w:rsidR="00B62BCE" w:rsidRDefault="00B62BCE" w:rsidP="00B62BCE">
      <w:pPr>
        <w:pStyle w:val="a9"/>
      </w:pPr>
      <w:r>
        <w:t>Απάντηση:</w:t>
      </w:r>
    </w:p>
    <w:p w14:paraId="3EEC7F5E" w14:textId="47F39FDB" w:rsidR="00B62BCE" w:rsidRDefault="00362603" w:rsidP="00362603">
      <w:pPr>
        <w:pStyle w:val="i"/>
      </w:pPr>
      <w:r>
        <w:t xml:space="preserve">Σε ένα διάγραμμα υ-t η κλίση της καμπύλης μας δίνει την επιτάχυνση. Έτσι για το Α σώμα, η ευθεία (ε) είναι εφαπτόμενη στην καμπύλη τη στιγμή t=0.  Η ευθεία (ε) όμως είναι παράλληλη στον άξονα x, συνεπώς έχει μηδενική κλίση, συνεπώς και </w:t>
      </w:r>
      <w:r w:rsidR="00E75F57" w:rsidRPr="007560AB">
        <w:rPr>
          <w:position w:val="-24"/>
        </w:rPr>
        <w:object w:dxaOrig="1219" w:dyaOrig="620" w14:anchorId="20AD5CA3">
          <v:shape id="_x0000_i1032" type="#_x0000_t75" style="width:61.05pt;height:31.05pt" o:ole="">
            <v:imagedata r:id="rId11" o:title=""/>
          </v:shape>
          <o:OLEObject Type="Embed" ProgID="Equation.DSMT4" ShapeID="_x0000_i1032" DrawAspect="Content" ObjectID="_1824473696" r:id="rId12"/>
        </w:object>
      </w:r>
      <w:r w:rsidR="00E75F57">
        <w:t>.</w:t>
      </w:r>
    </w:p>
    <w:p w14:paraId="3C0284C6" w14:textId="12B3A456" w:rsidR="00E75F57" w:rsidRDefault="00C178B6" w:rsidP="00362603">
      <w:pPr>
        <w:pStyle w:val="i"/>
      </w:pPr>
      <w:r w:rsidRPr="00C178B6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DE4B38C">
          <v:shape id="_x0000_s1028" type="#_x0000_t75" style="position:absolute;left:0;text-align:left;margin-left:323.65pt;margin-top:5.3pt;width:158.05pt;height:123.55pt;z-index:251661312;mso-position-horizontal-relative:text;mso-position-vertical-relative:text" filled="t" fillcolor="#e2efd9 [665]">
            <v:imagedata r:id="rId13" o:title=""/>
            <w10:wrap type="square"/>
          </v:shape>
          <o:OLEObject Type="Embed" ProgID="Visio.Drawing.11" ShapeID="_x0000_s1028" DrawAspect="Content" ObjectID="_1824473703" r:id="rId14"/>
        </w:object>
      </w:r>
      <w:r w:rsidR="00E75F57">
        <w:t>Για να βρούμε την επιτάχυνση του Α κινητού τη στιγμή t</w:t>
      </w:r>
      <w:r w:rsidR="00E75F57">
        <w:rPr>
          <w:vertAlign w:val="subscript"/>
        </w:rPr>
        <w:t>1</w:t>
      </w:r>
      <w:r w:rsidR="00E75F57">
        <w:t xml:space="preserve"> αρκεί να φέρουμε την εφαπτόμενη στην καμπύλη στο σημείο Ρ και να βρούμε την κλίση της. Αλλά εφαπτόμενη στην καμπύλη στο σημείο αυτό είναι η κόκκινη γραμμή που παριστάνει την ταχύτητα του Β κινητού. Κατά συνέπεια στη θέση Ρ η επιτάχυνση των δύο κινητών είναι ίδια, οπότε:</w:t>
      </w:r>
    </w:p>
    <w:p w14:paraId="77B76A58" w14:textId="60BCFFC2" w:rsidR="00E75F57" w:rsidRDefault="006F51E8" w:rsidP="006F51E8">
      <w:pPr>
        <w:jc w:val="center"/>
      </w:pPr>
      <w:r w:rsidRPr="007560AB">
        <w:rPr>
          <w:position w:val="-24"/>
        </w:rPr>
        <w:object w:dxaOrig="2140" w:dyaOrig="620" w14:anchorId="7879D698">
          <v:shape id="_x0000_i1037" type="#_x0000_t75" style="width:106.95pt;height:31.05pt" o:ole="">
            <v:imagedata r:id="rId15" o:title=""/>
          </v:shape>
          <o:OLEObject Type="Embed" ProgID="Equation.DSMT4" ShapeID="_x0000_i1037" DrawAspect="Content" ObjectID="_1824473697" r:id="rId16"/>
        </w:object>
      </w:r>
    </w:p>
    <w:p w14:paraId="73B77D6B" w14:textId="14B8BCF1" w:rsidR="006F51E8" w:rsidRDefault="006F51E8" w:rsidP="006F51E8">
      <w:pPr>
        <w:ind w:left="340"/>
      </w:pPr>
      <w:r>
        <w:t>Αφού η κλίση της ευθείας</w:t>
      </w:r>
      <w:r w:rsidR="00C178B6">
        <w:t xml:space="preserve"> (</w:t>
      </w:r>
      <w:r w:rsidR="00D739DA">
        <w:t xml:space="preserve">βλέπε </w:t>
      </w:r>
      <w:r w:rsidR="00C178B6">
        <w:t>γωνία θ</w:t>
      </w:r>
      <w:r w:rsidR="00D739DA">
        <w:t xml:space="preserve"> στο σχήμα, όπου εφθ&lt;0, οπότε και α&lt;0</w:t>
      </w:r>
      <w:r w:rsidR="00C178B6">
        <w:t xml:space="preserve">) </w:t>
      </w:r>
      <w:r>
        <w:t xml:space="preserve">είναι σταθερή και η στιγμιαία επιτάχυνση του Β κινητού είναι </w:t>
      </w:r>
      <w:r w:rsidR="00D739DA">
        <w:t>ί</w:t>
      </w:r>
      <w:r>
        <w:t>ση και με την μέση επιτάχυνση στο χρονικό διάστημα 0-t</w:t>
      </w:r>
      <w:r>
        <w:rPr>
          <w:vertAlign w:val="subscript"/>
        </w:rPr>
        <w:t>1</w:t>
      </w:r>
      <w:r>
        <w:t>. Έτσι παίρνουμε:</w:t>
      </w:r>
    </w:p>
    <w:p w14:paraId="155E398B" w14:textId="53972414" w:rsidR="006F51E8" w:rsidRDefault="006F51E8" w:rsidP="006F51E8">
      <w:pPr>
        <w:ind w:left="340"/>
        <w:jc w:val="center"/>
      </w:pPr>
      <w:r w:rsidRPr="007560AB">
        <w:rPr>
          <w:position w:val="-24"/>
        </w:rPr>
        <w:object w:dxaOrig="4300" w:dyaOrig="620" w14:anchorId="7AEE2897">
          <v:shape id="_x0000_i1040" type="#_x0000_t75" style="width:214.95pt;height:31.05pt" o:ole="">
            <v:imagedata r:id="rId17" o:title=""/>
          </v:shape>
          <o:OLEObject Type="Embed" ProgID="Equation.DSMT4" ShapeID="_x0000_i1040" DrawAspect="Content" ObjectID="_1824473698" r:id="rId18"/>
        </w:object>
      </w:r>
    </w:p>
    <w:p w14:paraId="5EAF4650" w14:textId="24A4F2A2" w:rsidR="006F51E8" w:rsidRDefault="006F51E8" w:rsidP="006F51E8">
      <w:pPr>
        <w:pStyle w:val="i"/>
      </w:pPr>
      <w:r>
        <w:t xml:space="preserve">Η μετατόπιση ενός κινητού είναι αριθμητικά ίση με το εμβαδόν του χωρίου που σχηματίζεται μεταξύ της γραφικής παράστασης και των αξόνων. Κατά συνέπεια οι δύο μετατοπίσεις, είναι </w:t>
      </w:r>
      <w:r w:rsidR="00C178B6">
        <w:t xml:space="preserve">εκφράζονται μέσω των </w:t>
      </w:r>
      <w:r w:rsidR="00C178B6">
        <w:lastRenderedPageBreak/>
        <w:t>εμβαδόν με γαλάζιο</w:t>
      </w:r>
      <w:r w:rsidR="005D73BB">
        <w:t>;</w:t>
      </w:r>
      <w:r w:rsidR="00C178B6">
        <w:t xml:space="preserve"> και κόκκινο</w:t>
      </w:r>
      <w:r w:rsidR="005D73BB">
        <w:t>;</w:t>
      </w:r>
      <w:r w:rsidR="00C178B6">
        <w:t xml:space="preserve"> χρώμα στα παρακάτω σχήματα.</w:t>
      </w:r>
    </w:p>
    <w:p w14:paraId="007DEACA" w14:textId="07AF9223" w:rsidR="005D73BB" w:rsidRDefault="005D73BB" w:rsidP="005D73BB">
      <w:pPr>
        <w:jc w:val="center"/>
      </w:pPr>
      <w:r>
        <w:object w:dxaOrig="6959" w:dyaOrig="2470" w14:anchorId="7D998D47">
          <v:shape id="_x0000_i1060" type="#_x0000_t75" style="width:348pt;height:123.55pt" o:ole="" filled="t" fillcolor="#e2efd9 [665]">
            <v:imagedata r:id="rId19" o:title=""/>
          </v:shape>
          <o:OLEObject Type="Embed" ProgID="Visio.Drawing.11" ShapeID="_x0000_i1060" DrawAspect="Content" ObjectID="_1824473699" r:id="rId20"/>
        </w:object>
      </w:r>
    </w:p>
    <w:p w14:paraId="2EA4A6EF" w14:textId="37B547AF" w:rsidR="005D73BB" w:rsidRDefault="005D73BB" w:rsidP="005D73BB">
      <w:pPr>
        <w:ind w:left="340"/>
      </w:pPr>
      <w:r>
        <w:t>Από την σύγκριση των εμβαδών των δύο χωρίων στο παραπάνω σχήμα, προκύπτει ότι:</w:t>
      </w:r>
    </w:p>
    <w:p w14:paraId="50F75925" w14:textId="28AAEA84" w:rsidR="005D73BB" w:rsidRDefault="005D73BB" w:rsidP="005D73BB">
      <w:pPr>
        <w:jc w:val="center"/>
      </w:pPr>
      <w:r w:rsidRPr="005D73BB">
        <w:rPr>
          <w:position w:val="-12"/>
        </w:rPr>
        <w:object w:dxaOrig="1060" w:dyaOrig="360" w14:anchorId="3C23BF3A">
          <v:shape id="_x0000_i1063" type="#_x0000_t75" style="width:52.95pt;height:18pt" o:ole="">
            <v:imagedata r:id="rId21" o:title=""/>
          </v:shape>
          <o:OLEObject Type="Embed" ProgID="Equation.DSMT4" ShapeID="_x0000_i1063" DrawAspect="Content" ObjectID="_1824473700" r:id="rId22"/>
        </w:object>
      </w:r>
    </w:p>
    <w:p w14:paraId="3F51954F" w14:textId="70CCF251" w:rsidR="005D73BB" w:rsidRDefault="005D73BB" w:rsidP="005D73BB">
      <w:pPr>
        <w:ind w:left="340"/>
      </w:pPr>
      <w:r>
        <w:t>Όμως για το Β κινητό έχουμε</w:t>
      </w:r>
      <w:r w:rsidR="002C3AC1">
        <w:t xml:space="preserve"> ότι η μετατόπισή του</w:t>
      </w:r>
      <w:r w:rsidR="00C352C3">
        <w:t>,</w:t>
      </w:r>
      <w:r w:rsidR="002C3AC1">
        <w:t xml:space="preserve"> ίση με το εμβαδόν του τραπεζίου του </w:t>
      </w:r>
      <w:r w:rsidR="00C352C3">
        <w:t xml:space="preserve">δεύτερου παραπάνω </w:t>
      </w:r>
      <w:r w:rsidR="002C3AC1">
        <w:t>σχήματος</w:t>
      </w:r>
      <w:r w:rsidR="00C352C3">
        <w:t xml:space="preserve"> έχουμε</w:t>
      </w:r>
      <w:r>
        <w:t>:</w:t>
      </w:r>
    </w:p>
    <w:p w14:paraId="43C213D1" w14:textId="0D550A41" w:rsidR="005D73BB" w:rsidRDefault="002C3AC1" w:rsidP="002C3AC1">
      <w:pPr>
        <w:ind w:left="340"/>
        <w:jc w:val="center"/>
      </w:pPr>
      <w:r w:rsidRPr="002C3AC1">
        <w:rPr>
          <w:position w:val="-24"/>
        </w:rPr>
        <w:object w:dxaOrig="3600" w:dyaOrig="620" w14:anchorId="077F00A3">
          <v:shape id="_x0000_i1068" type="#_x0000_t75" style="width:180pt;height:31.05pt" o:ole="">
            <v:imagedata r:id="rId23" o:title=""/>
          </v:shape>
          <o:OLEObject Type="Embed" ProgID="Equation.DSMT4" ShapeID="_x0000_i1068" DrawAspect="Content" ObjectID="_1824473701" r:id="rId24"/>
        </w:object>
      </w:r>
    </w:p>
    <w:p w14:paraId="7EF7D4E6" w14:textId="5194E068" w:rsidR="002C3AC1" w:rsidRDefault="002C3AC1" w:rsidP="002C3AC1">
      <w:pPr>
        <w:ind w:left="340"/>
      </w:pPr>
      <w:r>
        <w:t>Συνεπώς η μετατόπιση του Α είναι μικρότερη, οπότε σωστό το α).</w:t>
      </w:r>
    </w:p>
    <w:p w14:paraId="4492D44C" w14:textId="0FCB7630" w:rsidR="002C3AC1" w:rsidRPr="006F51E8" w:rsidRDefault="002C3AC1" w:rsidP="002C3AC1">
      <w:pPr>
        <w:pStyle w:val="a9"/>
        <w:jc w:val="right"/>
      </w:pPr>
      <w:r>
        <w:t>dmargaris@gmail.com</w:t>
      </w:r>
    </w:p>
    <w:sectPr w:rsidR="002C3AC1" w:rsidRPr="006F51E8">
      <w:headerReference w:type="default" r:id="rId25"/>
      <w:footerReference w:type="default" r:id="rId2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79A9" w14:textId="77777777" w:rsidR="007F0B9D" w:rsidRDefault="007F0B9D">
      <w:pPr>
        <w:spacing w:line="240" w:lineRule="auto"/>
      </w:pPr>
      <w:r>
        <w:separator/>
      </w:r>
    </w:p>
  </w:endnote>
  <w:endnote w:type="continuationSeparator" w:id="0">
    <w:p w14:paraId="4373448E" w14:textId="77777777" w:rsidR="007F0B9D" w:rsidRDefault="007F0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306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3ED0C0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7F43BB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9C47" w14:textId="77777777" w:rsidR="007F0B9D" w:rsidRDefault="007F0B9D">
      <w:pPr>
        <w:spacing w:after="0"/>
      </w:pPr>
      <w:r>
        <w:separator/>
      </w:r>
    </w:p>
  </w:footnote>
  <w:footnote w:type="continuationSeparator" w:id="0">
    <w:p w14:paraId="3B2BE7AF" w14:textId="77777777" w:rsidR="007F0B9D" w:rsidRDefault="007F0B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00C1" w14:textId="1CE442F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23211A">
      <w:rPr>
        <w:i/>
      </w:rPr>
      <w:t xml:space="preserve">Κινηματική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1A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3211A"/>
    <w:rsid w:val="002805FC"/>
    <w:rsid w:val="0029377E"/>
    <w:rsid w:val="002A74F9"/>
    <w:rsid w:val="002C3AC1"/>
    <w:rsid w:val="002C4684"/>
    <w:rsid w:val="002D32C2"/>
    <w:rsid w:val="003034D4"/>
    <w:rsid w:val="00305BAA"/>
    <w:rsid w:val="00311D4A"/>
    <w:rsid w:val="003243DB"/>
    <w:rsid w:val="00325EE1"/>
    <w:rsid w:val="003272C2"/>
    <w:rsid w:val="00334BD8"/>
    <w:rsid w:val="00342B66"/>
    <w:rsid w:val="00362603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2ED9"/>
    <w:rsid w:val="0051685F"/>
    <w:rsid w:val="00540D85"/>
    <w:rsid w:val="005423A9"/>
    <w:rsid w:val="0055699C"/>
    <w:rsid w:val="00572886"/>
    <w:rsid w:val="005763D5"/>
    <w:rsid w:val="00576528"/>
    <w:rsid w:val="00580E0E"/>
    <w:rsid w:val="00585132"/>
    <w:rsid w:val="005C059F"/>
    <w:rsid w:val="005D73BB"/>
    <w:rsid w:val="0064168E"/>
    <w:rsid w:val="00646034"/>
    <w:rsid w:val="00667E23"/>
    <w:rsid w:val="00687B49"/>
    <w:rsid w:val="006A4B3B"/>
    <w:rsid w:val="006C290F"/>
    <w:rsid w:val="006C3491"/>
    <w:rsid w:val="006E4ABE"/>
    <w:rsid w:val="006E4CBF"/>
    <w:rsid w:val="006F51E8"/>
    <w:rsid w:val="006F5F92"/>
    <w:rsid w:val="00717932"/>
    <w:rsid w:val="00736498"/>
    <w:rsid w:val="00744C3F"/>
    <w:rsid w:val="00757BF7"/>
    <w:rsid w:val="00767BD2"/>
    <w:rsid w:val="00774F6B"/>
    <w:rsid w:val="007A43E4"/>
    <w:rsid w:val="007B35C2"/>
    <w:rsid w:val="007B36AF"/>
    <w:rsid w:val="007C3D0B"/>
    <w:rsid w:val="007D112E"/>
    <w:rsid w:val="007D7637"/>
    <w:rsid w:val="007E115B"/>
    <w:rsid w:val="007F0B9D"/>
    <w:rsid w:val="007F12A4"/>
    <w:rsid w:val="007F2E67"/>
    <w:rsid w:val="007F4EE5"/>
    <w:rsid w:val="00814FD8"/>
    <w:rsid w:val="0081576D"/>
    <w:rsid w:val="00844E46"/>
    <w:rsid w:val="00847AED"/>
    <w:rsid w:val="008627CA"/>
    <w:rsid w:val="00871B0A"/>
    <w:rsid w:val="00873F39"/>
    <w:rsid w:val="0087491C"/>
    <w:rsid w:val="008945AD"/>
    <w:rsid w:val="008F3C3C"/>
    <w:rsid w:val="008F70FE"/>
    <w:rsid w:val="00923AB1"/>
    <w:rsid w:val="009675D3"/>
    <w:rsid w:val="0097514D"/>
    <w:rsid w:val="00986BE8"/>
    <w:rsid w:val="009A1C4D"/>
    <w:rsid w:val="009D218C"/>
    <w:rsid w:val="009F636C"/>
    <w:rsid w:val="00A15C87"/>
    <w:rsid w:val="00A42E9C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62BCE"/>
    <w:rsid w:val="00B820C2"/>
    <w:rsid w:val="00BB3001"/>
    <w:rsid w:val="00BC12E9"/>
    <w:rsid w:val="00BD7B74"/>
    <w:rsid w:val="00BF370D"/>
    <w:rsid w:val="00BF7EE1"/>
    <w:rsid w:val="00C0299B"/>
    <w:rsid w:val="00C042C9"/>
    <w:rsid w:val="00C178B6"/>
    <w:rsid w:val="00C352C3"/>
    <w:rsid w:val="00CA7A43"/>
    <w:rsid w:val="00CF4B1F"/>
    <w:rsid w:val="00D045EF"/>
    <w:rsid w:val="00D533FC"/>
    <w:rsid w:val="00D739DA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75F57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D2BAB8"/>
  <w15:docId w15:val="{CF51D09C-AF56-4A42-9CF4-4E2975D6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23211A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560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B62BCE"/>
    <w:pPr>
      <w:numPr>
        <w:ilvl w:val="1"/>
        <w:numId w:val="22"/>
      </w:numPr>
      <w:tabs>
        <w:tab w:val="clear" w:pos="340"/>
        <w:tab w:val="clear" w:pos="680"/>
        <w:tab w:val="num" w:pos="360"/>
      </w:tabs>
      <w:spacing w:after="0"/>
      <w:ind w:left="340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23211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character" w:styleId="-">
    <w:name w:val="Hyperlink"/>
    <w:basedOn w:val="a2"/>
    <w:uiPriority w:val="99"/>
    <w:unhideWhenUsed/>
    <w:rsid w:val="007A43E4"/>
    <w:rPr>
      <w:color w:val="0563C1" w:themeColor="hyperlink"/>
      <w:u w:val="single"/>
    </w:rPr>
  </w:style>
  <w:style w:type="character" w:styleId="ac">
    <w:name w:val="Unresolved Mention"/>
    <w:basedOn w:val="a2"/>
    <w:uiPriority w:val="99"/>
    <w:semiHidden/>
    <w:unhideWhenUsed/>
    <w:rsid w:val="007A4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hyperlink" Target="https://ylikonet.gr/2025/11/12/%ce%b3%cf%81%ce%b1%cf%86%ce%b9%ce%ba%ce%ae-%cf%80%ce%b1%cf%81%ce%ac%cf%83%cf%84%ce%b1%cf%83%ce%b7-%cf%83%ce%b5-%ce%ba%ce%bf%ce%b9%ce%bd%ce%bf%cf%8d%cf%82-%ce%ac%ce%be%ce%bf%ce%bd%ce%b5%cf%82/" TargetMode="Externa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86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Οι ταχύτητες δύο κινητών στους ίδιους άξονες.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ταχύτητες δύο κινητών στους ίδιους άξονες.</dc:title>
  <dc:creator>Διονύσης Μάργαρης</dc:creator>
  <cp:lastModifiedBy>Διονύσης Μάργαρης</cp:lastModifiedBy>
  <cp:revision>11</cp:revision>
  <dcterms:created xsi:type="dcterms:W3CDTF">2025-11-12T11:14:00Z</dcterms:created>
  <dcterms:modified xsi:type="dcterms:W3CDTF">2025-11-12T15:28:00Z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