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E5" w:rsidRPr="00CD05E5" w:rsidRDefault="00CD05E5" w:rsidP="00332C64">
      <w:pPr>
        <w:pStyle w:val="10"/>
      </w:pPr>
      <w:r>
        <w:t>Μια ταλάντωση με κρούση. Ορμή και ενέργειες.</w:t>
      </w:r>
    </w:p>
    <w:p w:rsidR="00CD05E5" w:rsidRDefault="00CD05E5" w:rsidP="00332C64">
      <w:r w:rsidRPr="009D421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16510</wp:posOffset>
            </wp:positionV>
            <wp:extent cx="1650365" cy="945515"/>
            <wp:effectExtent l="19050" t="0" r="6985" b="0"/>
            <wp:wrapSquare wrapText="bothSides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4551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Το</w:t>
      </w:r>
      <w:r w:rsidR="00C61341">
        <w:t xml:space="preserve"> σώμα Σ μάζας m</w:t>
      </w:r>
      <w:r w:rsidR="00C61341">
        <w:rPr>
          <w:vertAlign w:val="subscript"/>
        </w:rPr>
        <w:t>1</w:t>
      </w:r>
      <w:r>
        <w:t xml:space="preserve"> ταλαντώνεται σε λείο οριζόντιο επίπεδο</w:t>
      </w:r>
      <w:r w:rsidR="00C61341">
        <w:t>, δεμένο στο άκρο ιδανικού ελατηρίου σταθ</w:t>
      </w:r>
      <w:r w:rsidR="00C61341">
        <w:t>ε</w:t>
      </w:r>
      <w:r w:rsidR="00C61341">
        <w:t>ράς k,</w:t>
      </w:r>
      <w:r>
        <w:t xml:space="preserve"> µε πλάτος Α και περίοδο Τ. Όταν το σώμα µ</w:t>
      </w:r>
      <w:proofErr w:type="spellStart"/>
      <w:r>
        <w:t>άζας</w:t>
      </w:r>
      <w:proofErr w:type="spellEnd"/>
      <w:r>
        <w:t xml:space="preserve"> Σ διέρχεται από τη θέση ισορροπίας συγκρούεται πλαστικά µε το σώμα Β,</w:t>
      </w:r>
      <w:r w:rsidR="00211A74">
        <w:t xml:space="preserve"> μάζας m</w:t>
      </w:r>
      <w:r w:rsidR="00211A74">
        <w:rPr>
          <w:vertAlign w:val="subscript"/>
        </w:rPr>
        <w:t>2</w:t>
      </w:r>
      <w:r>
        <w:t xml:space="preserve"> που έπεφτε ελεύθερα</w:t>
      </w:r>
      <w:r w:rsidR="00C92EB6">
        <w:t xml:space="preserve"> από ύψος h</w:t>
      </w:r>
      <w:r w:rsidRPr="008F0730">
        <w:t xml:space="preserve">, </w:t>
      </w:r>
      <w:r>
        <w:t xml:space="preserve"> και το σύστημα σ</w:t>
      </w:r>
      <w:r>
        <w:t>υ</w:t>
      </w:r>
      <w:r>
        <w:t>νεχίζει να ταλαντ</w:t>
      </w:r>
      <w:r>
        <w:t>ώ</w:t>
      </w:r>
      <w:r>
        <w:t>νεται.</w:t>
      </w:r>
    </w:p>
    <w:p w:rsidR="00CD05E5" w:rsidRDefault="00876B1E" w:rsidP="00876B1E">
      <w:pPr>
        <w:ind w:left="567" w:hanging="340"/>
      </w:pPr>
      <w:r>
        <w:t>i</w:t>
      </w:r>
      <w:r w:rsidR="00CD05E5" w:rsidRPr="008F0730">
        <w:t xml:space="preserve">) </w:t>
      </w:r>
      <w:r w:rsidR="00CD05E5">
        <w:t>Ποιες προτάσεις είναι σωστές και ποιες λανθασμένες:</w:t>
      </w:r>
    </w:p>
    <w:p w:rsidR="00CD05E5" w:rsidRDefault="00876B1E" w:rsidP="00876B1E">
      <w:pPr>
        <w:ind w:left="794" w:hanging="340"/>
      </w:pPr>
      <w:r>
        <w:t>α</w:t>
      </w:r>
      <w:r w:rsidR="00CD05E5" w:rsidRPr="00332C64">
        <w:t xml:space="preserve">)  </w:t>
      </w:r>
      <w:r w:rsidR="00CD05E5">
        <w:t>Η θέση ισορροπίας της ταλάντωσης</w:t>
      </w:r>
      <w:r w:rsidR="006E4543" w:rsidRPr="006E4543">
        <w:t xml:space="preserve"> </w:t>
      </w:r>
      <w:r w:rsidR="006E4543">
        <w:t xml:space="preserve">έμεινε </w:t>
      </w:r>
      <w:r w:rsidR="00CD05E5">
        <w:t>η ίδια.</w:t>
      </w:r>
    </w:p>
    <w:p w:rsidR="00211A74" w:rsidRDefault="00876B1E" w:rsidP="00876B1E">
      <w:pPr>
        <w:ind w:left="794" w:hanging="340"/>
      </w:pPr>
      <w:r>
        <w:t>β</w:t>
      </w:r>
      <w:r w:rsidR="00CD05E5" w:rsidRPr="00332C64">
        <w:t xml:space="preserve">) </w:t>
      </w:r>
      <w:r w:rsidR="00211A74">
        <w:t xml:space="preserve"> Κατά τη διάρκεια της κρούσης </w:t>
      </w:r>
      <w:r w:rsidR="009C00F2">
        <w:t>η ορμή του συστήματος των δύο σωμάτων διατηρείται</w:t>
      </w:r>
      <w:r w:rsidR="00211A74">
        <w:t>.</w:t>
      </w:r>
    </w:p>
    <w:p w:rsidR="00CD05E5" w:rsidRDefault="00876B1E" w:rsidP="00876B1E">
      <w:pPr>
        <w:ind w:left="794" w:hanging="340"/>
      </w:pPr>
      <w:r>
        <w:t>γ</w:t>
      </w:r>
      <w:r w:rsidR="00CD05E5" w:rsidRPr="00332C64">
        <w:t xml:space="preserve">) </w:t>
      </w:r>
      <w:r w:rsidR="00211A74">
        <w:t xml:space="preserve">Η ορμή του συστήματος στην οριζόντια διεύθυνση, ελάχιστα </w:t>
      </w:r>
      <w:r w:rsidR="00CD05E5">
        <w:t>πριν</w:t>
      </w:r>
      <w:r w:rsidR="00211A74">
        <w:t xml:space="preserve"> την κρούση, είναι ίση με την ορμή του ελάχιστα</w:t>
      </w:r>
      <w:r w:rsidR="00CD05E5">
        <w:t xml:space="preserve"> µ</w:t>
      </w:r>
      <w:proofErr w:type="spellStart"/>
      <w:r w:rsidR="00CD05E5">
        <w:t>ετά</w:t>
      </w:r>
      <w:proofErr w:type="spellEnd"/>
      <w:r w:rsidR="00CD05E5">
        <w:t xml:space="preserve"> την κρούση.</w:t>
      </w:r>
    </w:p>
    <w:p w:rsidR="00CD05E5" w:rsidRDefault="00876B1E" w:rsidP="00876B1E">
      <w:pPr>
        <w:ind w:left="794" w:hanging="340"/>
      </w:pPr>
      <w:r>
        <w:t>δ</w:t>
      </w:r>
      <w:r w:rsidR="00CD05E5" w:rsidRPr="00332C64">
        <w:t xml:space="preserve">) </w:t>
      </w:r>
      <w:r w:rsidR="00CD05E5">
        <w:t>Η περίοδος της ταλάντωσης αυξήθηκε.</w:t>
      </w:r>
    </w:p>
    <w:p w:rsidR="00CD05E5" w:rsidRDefault="00876B1E" w:rsidP="00876B1E">
      <w:pPr>
        <w:ind w:left="794" w:hanging="340"/>
      </w:pPr>
      <w:r>
        <w:t>ε</w:t>
      </w:r>
      <w:r w:rsidR="00CD05E5" w:rsidRPr="00332C64">
        <w:t xml:space="preserve">) </w:t>
      </w:r>
      <w:r w:rsidR="00C92EB6">
        <w:t xml:space="preserve">Η ενέργεια της ταλάντωσης </w:t>
      </w:r>
      <w:r w:rsidR="00CD05E5">
        <w:t>μειώθηκε.</w:t>
      </w:r>
    </w:p>
    <w:p w:rsidR="00C92EB6" w:rsidRDefault="00876B1E" w:rsidP="00876B1E">
      <w:pPr>
        <w:ind w:left="567" w:hanging="340"/>
      </w:pPr>
      <w:r>
        <w:t>ii</w:t>
      </w:r>
      <w:r w:rsidR="00C92EB6">
        <w:t>) Να υπολογίσετε την απώλεια της μηχανικής ενέργειας κατά την κρούση, σε συνάρτηση με το ύψος</w:t>
      </w:r>
      <w:r>
        <w:t xml:space="preserve"> h</w:t>
      </w:r>
      <w:r w:rsidR="00C92EB6">
        <w:t>. Πότε η απώλεια αυτή είναι ελάχιστη;</w:t>
      </w:r>
    </w:p>
    <w:p w:rsidR="00C92EB6" w:rsidRDefault="00876B1E" w:rsidP="00876B1E">
      <w:pPr>
        <w:ind w:left="567" w:hanging="340"/>
      </w:pPr>
      <w:r>
        <w:t>iii</w:t>
      </w:r>
      <w:r w:rsidR="00C92EB6">
        <w:t>) Αν η κρούση δεν πραγματοποιηθεί στη θέση ισορροπίας, αλλά σε απομάκρυνση x, να βρεθεί η συνθ</w:t>
      </w:r>
      <w:r w:rsidR="00C92EB6">
        <w:t>ή</w:t>
      </w:r>
      <w:r w:rsidR="00C92EB6">
        <w:t>κη για την ελάχιστη μείωση της ενέργειας ταλάντωσης</w:t>
      </w:r>
      <w:r>
        <w:t>.</w:t>
      </w:r>
    </w:p>
    <w:p w:rsidR="00CD05E5" w:rsidRPr="00A911FA" w:rsidRDefault="00CD05E5" w:rsidP="00A911FA">
      <w:pPr>
        <w:rPr>
          <w:b/>
          <w:color w:val="0070C0"/>
        </w:rPr>
      </w:pPr>
      <w:r w:rsidRPr="00A911FA">
        <w:rPr>
          <w:b/>
          <w:color w:val="0070C0"/>
        </w:rPr>
        <w:t>Απάντηση:</w:t>
      </w:r>
    </w:p>
    <w:p w:rsidR="0024101C" w:rsidRPr="0024101C" w:rsidRDefault="00CD05E5" w:rsidP="00876B1E">
      <w:pPr>
        <w:pStyle w:val="1"/>
        <w:rPr>
          <w:rFonts w:cs="Arial"/>
        </w:rPr>
      </w:pPr>
      <w:r>
        <w:t>Η ορμή δεν μπορεί να διατηρηθεί</w:t>
      </w:r>
      <w:r w:rsidR="00876B1E">
        <w:t>,</w:t>
      </w:r>
      <w:r>
        <w:t xml:space="preserve"> αφού πριν την κρούση το σύστημα των δύο σωμάτων έχει συνιστ</w:t>
      </w:r>
      <w:r>
        <w:t>ώ</w:t>
      </w:r>
      <w:r>
        <w:t>σα ορμής κατακόρυφη</w:t>
      </w:r>
      <w:r w:rsidR="0024101C">
        <w:t>, ίση με την ορμή του σώματος Β (</w:t>
      </w:r>
      <w:r w:rsidR="0024101C" w:rsidRPr="0024101C">
        <w:rPr>
          <w:b/>
        </w:rPr>
        <w:t>Ρ</w:t>
      </w:r>
      <w:r w:rsidR="0024101C" w:rsidRPr="0024101C">
        <w:rPr>
          <w:b/>
          <w:vertAlign w:val="subscript"/>
        </w:rPr>
        <w:t>2</w:t>
      </w:r>
      <w:r w:rsidR="0024101C">
        <w:t>)</w:t>
      </w:r>
      <w:r>
        <w:t>, ενώ μετά την κρούση υποχρεωτικά το σύστημα θα ταλαντωθεί σε οριζόντια διεύθυνση.  Αυτό από άποψη δυνάμεων, σημαίνει ότι το σύστ</w:t>
      </w:r>
      <w:r>
        <w:t>η</w:t>
      </w:r>
      <w:r>
        <w:t xml:space="preserve">μα των σωμάτων δεν είναι μονωμένο. </w:t>
      </w:r>
    </w:p>
    <w:p w:rsidR="0024101C" w:rsidRPr="0024101C" w:rsidRDefault="0024101C" w:rsidP="0024101C">
      <w:pPr>
        <w:jc w:val="center"/>
      </w:pPr>
      <w:r w:rsidRPr="0024101C">
        <w:rPr>
          <w:noProof/>
        </w:rPr>
        <w:drawing>
          <wp:inline distT="0" distB="0" distL="0" distR="0">
            <wp:extent cx="3794125" cy="13398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133985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5E5" w:rsidRPr="0024101C" w:rsidRDefault="00CD05E5" w:rsidP="00C61341">
      <w:pPr>
        <w:tabs>
          <w:tab w:val="left" w:pos="567"/>
        </w:tabs>
        <w:ind w:left="426"/>
        <w:rPr>
          <w:rFonts w:cs="Arial"/>
        </w:rPr>
      </w:pPr>
      <w:r>
        <w:t>Πράγματι στη διάρκεια της κρούσης ασκούνται στο σύστημα των σωμάτων οι εξωτερικές δυνάμεις, βάρη και κάθετη αντίδραση του επιπέδου, όπου όμως Ν&gt;&gt;(m</w:t>
      </w:r>
      <w:r w:rsidRPr="0024101C">
        <w:rPr>
          <w:vertAlign w:val="subscript"/>
        </w:rPr>
        <w:t>1</w:t>
      </w:r>
      <w:r>
        <w:t>+m</w:t>
      </w:r>
      <w:r w:rsidRPr="0024101C">
        <w:rPr>
          <w:vertAlign w:val="subscript"/>
        </w:rPr>
        <w:t>2</w:t>
      </w:r>
      <w:r>
        <w:t>)g</w:t>
      </w:r>
    </w:p>
    <w:p w:rsidR="00CD05E5" w:rsidRDefault="00CD05E5" w:rsidP="00C61341">
      <w:pPr>
        <w:tabs>
          <w:tab w:val="left" w:pos="567"/>
        </w:tabs>
        <w:ind w:left="426"/>
        <w:jc w:val="left"/>
        <w:rPr>
          <w:shd w:val="clear" w:color="auto" w:fill="FFFFFF"/>
        </w:rPr>
      </w:pPr>
      <w:r w:rsidRPr="00E0375D">
        <w:rPr>
          <w:shd w:val="clear" w:color="auto" w:fill="FFFFFF"/>
        </w:rPr>
        <w:t>Η ορμή</w:t>
      </w:r>
      <w:r>
        <w:rPr>
          <w:shd w:val="clear" w:color="auto" w:fill="FFFFFF"/>
        </w:rPr>
        <w:t xml:space="preserve"> όμως αντίθετα</w:t>
      </w:r>
      <w:r w:rsidRPr="00E0375D">
        <w:rPr>
          <w:shd w:val="clear" w:color="auto" w:fill="FFFFFF"/>
        </w:rPr>
        <w:t xml:space="preserve"> διατηρείται στον άξονα x,</w:t>
      </w:r>
      <w:r>
        <w:rPr>
          <w:shd w:val="clear" w:color="auto" w:fill="FFFFFF"/>
        </w:rPr>
        <w:t xml:space="preserve"> αφού δεν υπάρχουν εξωτερικές οριζόντιες δυνάμεις που να ασκούνται στο σύστημα των σωμάτων. Συνεπώς:</w:t>
      </w:r>
    </w:p>
    <w:p w:rsidR="00CD05E5" w:rsidRDefault="00CD05E5" w:rsidP="008B2AAD">
      <w:pPr>
        <w:jc w:val="center"/>
        <w:rPr>
          <w:shd w:val="clear" w:color="auto" w:fill="FFFFFF"/>
        </w:rPr>
      </w:pPr>
      <w:r w:rsidRPr="00E0375D">
        <w:rPr>
          <w:shd w:val="clear" w:color="auto" w:fill="FFFFFF"/>
        </w:rPr>
        <w:t>m</w:t>
      </w:r>
      <w:r w:rsidRPr="00E0375D">
        <w:rPr>
          <w:sz w:val="24"/>
          <w:szCs w:val="24"/>
          <w:shd w:val="clear" w:color="auto" w:fill="FFFFFF"/>
          <w:vertAlign w:val="subscript"/>
        </w:rPr>
        <w:t>1</w:t>
      </w:r>
      <w:r w:rsidRPr="00E0375D">
        <w:rPr>
          <w:shd w:val="clear" w:color="auto" w:fill="FFFFFF"/>
        </w:rPr>
        <w:t>υ</w:t>
      </w:r>
      <w:r w:rsidRPr="00E0375D">
        <w:rPr>
          <w:sz w:val="24"/>
          <w:szCs w:val="24"/>
          <w:shd w:val="clear" w:color="auto" w:fill="FFFFFF"/>
          <w:vertAlign w:val="subscript"/>
        </w:rPr>
        <w:t>1max</w:t>
      </w:r>
      <w:r w:rsidRPr="00E0375D">
        <w:rPr>
          <w:shd w:val="clear" w:color="auto" w:fill="FFFFFF"/>
        </w:rPr>
        <w:t>= (m</w:t>
      </w:r>
      <w:r w:rsidRPr="00E0375D">
        <w:rPr>
          <w:sz w:val="24"/>
          <w:szCs w:val="24"/>
          <w:shd w:val="clear" w:color="auto" w:fill="FFFFFF"/>
          <w:vertAlign w:val="subscript"/>
        </w:rPr>
        <w:t>1</w:t>
      </w:r>
      <w:r w:rsidRPr="00E0375D">
        <w:rPr>
          <w:shd w:val="clear" w:color="auto" w:fill="FFFFFF"/>
        </w:rPr>
        <w:t>+m</w:t>
      </w:r>
      <w:r w:rsidRPr="00E0375D">
        <w:rPr>
          <w:sz w:val="24"/>
          <w:szCs w:val="24"/>
          <w:shd w:val="clear" w:color="auto" w:fill="FFFFFF"/>
          <w:vertAlign w:val="subscript"/>
        </w:rPr>
        <w:t>2</w:t>
      </w:r>
      <w:r w:rsidRPr="00E0375D">
        <w:rPr>
          <w:shd w:val="clear" w:color="auto" w:fill="FFFFFF"/>
        </w:rPr>
        <w:t>)</w:t>
      </w:r>
      <w:proofErr w:type="spellStart"/>
      <w:r w:rsidRPr="00E0375D">
        <w:rPr>
          <w:shd w:val="clear" w:color="auto" w:fill="FFFFFF"/>
        </w:rPr>
        <w:t>υ</w:t>
      </w:r>
      <w:r w:rsidRPr="00E0375D">
        <w:rPr>
          <w:sz w:val="24"/>
          <w:szCs w:val="24"/>
          <w:shd w:val="clear" w:color="auto" w:fill="FFFFFF"/>
          <w:vertAlign w:val="subscript"/>
        </w:rPr>
        <w:t>κmax</w:t>
      </w:r>
      <w:proofErr w:type="spellEnd"/>
      <w:r w:rsidRPr="00E0375D">
        <w:rPr>
          <w:shd w:val="clear" w:color="auto" w:fill="FFFFFF"/>
        </w:rPr>
        <w:t>. (1)</w:t>
      </w:r>
    </w:p>
    <w:p w:rsidR="00CD05E5" w:rsidRDefault="00CD05E5" w:rsidP="00C61341">
      <w:pPr>
        <w:ind w:left="426"/>
        <w:rPr>
          <w:shd w:val="clear" w:color="auto" w:fill="FFFFFF"/>
        </w:rPr>
      </w:pPr>
      <w:r w:rsidRPr="00E0375D">
        <w:rPr>
          <w:shd w:val="clear" w:color="auto" w:fill="FFFFFF"/>
        </w:rPr>
        <w:t>Η περίοδος μεγαλώνει αφού:</w:t>
      </w:r>
    </w:p>
    <w:p w:rsidR="00CD05E5" w:rsidRPr="00E0375D" w:rsidRDefault="00CD05E5" w:rsidP="006638BD">
      <w:pPr>
        <w:jc w:val="center"/>
        <w:rPr>
          <w:sz w:val="24"/>
          <w:szCs w:val="24"/>
        </w:rPr>
      </w:pPr>
      <w:r w:rsidRPr="006638BD">
        <w:rPr>
          <w:position w:val="-26"/>
          <w:shd w:val="clear" w:color="auto" w:fill="FFFFFF"/>
        </w:rPr>
        <w:object w:dxaOrig="1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7pt;height:35.25pt" o:ole="">
            <v:imagedata r:id="rId9" o:title=""/>
          </v:shape>
          <o:OLEObject Type="Embed" ProgID="Equation.3" ShapeID="_x0000_i1025" DrawAspect="Content" ObjectID="_1569264500" r:id="rId10"/>
        </w:object>
      </w:r>
      <w:r>
        <w:rPr>
          <w:shd w:val="clear" w:color="auto" w:fill="FFFFFF"/>
        </w:rPr>
        <w:t xml:space="preserve">  ενώ  </w:t>
      </w:r>
      <w:r w:rsidRPr="006638BD">
        <w:rPr>
          <w:position w:val="-26"/>
          <w:shd w:val="clear" w:color="auto" w:fill="FFFFFF"/>
        </w:rPr>
        <w:object w:dxaOrig="1780" w:dyaOrig="700">
          <v:shape id="_x0000_i1026" type="#_x0000_t75" style="width:89.05pt;height:35.25pt" o:ole="">
            <v:imagedata r:id="rId11" o:title=""/>
          </v:shape>
          <o:OLEObject Type="Embed" ProgID="Equation.3" ShapeID="_x0000_i1026" DrawAspect="Content" ObjectID="_1569264501" r:id="rId12"/>
        </w:object>
      </w:r>
      <w:r>
        <w:rPr>
          <w:shd w:val="clear" w:color="auto" w:fill="FFFFFF"/>
        </w:rPr>
        <w:tab/>
      </w:r>
    </w:p>
    <w:p w:rsidR="00CD05E5" w:rsidRPr="00E0375D" w:rsidRDefault="00CD05E5" w:rsidP="00C61341">
      <w:pPr>
        <w:ind w:left="567"/>
        <w:rPr>
          <w:sz w:val="24"/>
          <w:szCs w:val="24"/>
        </w:rPr>
      </w:pPr>
      <w:r w:rsidRPr="00E0375D">
        <w:rPr>
          <w:shd w:val="clear" w:color="auto" w:fill="FFFFFF"/>
        </w:rPr>
        <w:lastRenderedPageBreak/>
        <w:t>ενώ το πλάτος ταλάντωσης μειώνεται</w:t>
      </w:r>
      <w:r>
        <w:rPr>
          <w:shd w:val="clear" w:color="auto" w:fill="FFFFFF"/>
        </w:rPr>
        <w:t xml:space="preserve">, μιας και </w:t>
      </w:r>
      <w:r w:rsidRPr="00E0375D">
        <w:rPr>
          <w:shd w:val="clear" w:color="auto" w:fill="FFFFFF"/>
        </w:rPr>
        <w:t>η κινητική ενέργεια του συσσωματώματος είναι μ</w:t>
      </w:r>
      <w:r w:rsidRPr="00E0375D">
        <w:rPr>
          <w:shd w:val="clear" w:color="auto" w:fill="FFFFFF"/>
        </w:rPr>
        <w:t>ι</w:t>
      </w:r>
      <w:r w:rsidRPr="00E0375D">
        <w:rPr>
          <w:shd w:val="clear" w:color="auto" w:fill="FFFFFF"/>
        </w:rPr>
        <w:t>κρότερη</w:t>
      </w:r>
      <w:r w:rsidRPr="00E0375D">
        <w:t> </w:t>
      </w:r>
      <w:r w:rsidRPr="00E0375D">
        <w:rPr>
          <w:shd w:val="clear" w:color="auto" w:fill="FFFFFF"/>
        </w:rPr>
        <w:t>από την κινητική ενέργεια του Σ πριν την κρούση</w:t>
      </w:r>
      <w:r>
        <w:rPr>
          <w:shd w:val="clear" w:color="auto" w:fill="FFFFFF"/>
        </w:rPr>
        <w:t>. Πράγματι</w:t>
      </w:r>
      <w:r w:rsidRPr="00E0375D">
        <w:rPr>
          <w:shd w:val="clear" w:color="auto" w:fill="FFFFFF"/>
        </w:rPr>
        <w:t>:</w:t>
      </w:r>
    </w:p>
    <w:p w:rsidR="00CD05E5" w:rsidRDefault="00CD05E5" w:rsidP="006638BD">
      <w:pPr>
        <w:jc w:val="center"/>
        <w:rPr>
          <w:i/>
        </w:rPr>
      </w:pPr>
      <w:proofErr w:type="spellStart"/>
      <w:r w:rsidRPr="007F19E9">
        <w:rPr>
          <w:i/>
        </w:rPr>
        <w:t>Κ</w:t>
      </w:r>
      <w:r w:rsidRPr="007F19E9">
        <w:rPr>
          <w:i/>
          <w:vertAlign w:val="subscript"/>
        </w:rPr>
        <w:t>μετ</w:t>
      </w:r>
      <w:proofErr w:type="spellEnd"/>
      <w:r w:rsidRPr="007F19E9">
        <w:rPr>
          <w:i/>
        </w:rPr>
        <w:t>= ½ (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1</w:t>
      </w:r>
      <w:r w:rsidRPr="007F19E9">
        <w:rPr>
          <w:i/>
        </w:rPr>
        <w:t>+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2</w:t>
      </w:r>
      <w:r w:rsidRPr="007F19E9">
        <w:rPr>
          <w:i/>
        </w:rPr>
        <w:t>)·</w:t>
      </w:r>
      <w:proofErr w:type="spellStart"/>
      <w:r w:rsidRPr="007F19E9">
        <w:rPr>
          <w:i/>
        </w:rPr>
        <w:t>υ</w:t>
      </w:r>
      <w:r w:rsidRPr="007F19E9">
        <w:rPr>
          <w:i/>
          <w:vertAlign w:val="subscript"/>
        </w:rPr>
        <w:t>κ</w:t>
      </w:r>
      <w:r w:rsidRPr="007F19E9">
        <w:rPr>
          <w:i/>
          <w:vertAlign w:val="superscript"/>
        </w:rPr>
        <w:t>2</w:t>
      </w:r>
      <w:proofErr w:type="spellEnd"/>
      <w:r w:rsidRPr="007F19E9">
        <w:rPr>
          <w:i/>
        </w:rPr>
        <w:t> = ½ (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1</w:t>
      </w:r>
      <w:r w:rsidRPr="007F19E9">
        <w:rPr>
          <w:i/>
        </w:rPr>
        <w:t>+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2</w:t>
      </w:r>
      <w:r w:rsidRPr="007F19E9">
        <w:rPr>
          <w:i/>
        </w:rPr>
        <w:t>)·</w:t>
      </w:r>
      <w:r w:rsidR="00827A23" w:rsidRPr="007F19E9">
        <w:rPr>
          <w:i/>
          <w:position w:val="-32"/>
        </w:rPr>
        <w:object w:dxaOrig="2840" w:dyaOrig="800">
          <v:shape id="_x0000_i1027" type="#_x0000_t75" style="width:142.05pt;height:40.25pt" o:ole="">
            <v:imagedata r:id="rId13" o:title=""/>
          </v:shape>
          <o:OLEObject Type="Embed" ProgID="Equation.3" ShapeID="_x0000_i1027" DrawAspect="Content" ObjectID="_1569264502" r:id="rId14"/>
        </w:object>
      </w:r>
    </w:p>
    <w:p w:rsidR="00F52105" w:rsidRDefault="00F52105" w:rsidP="00F52105">
      <w:pPr>
        <w:ind w:left="567"/>
      </w:pPr>
      <w:r>
        <w:t>Αλλά αφού η κρούση πραγματοποιήθηκε στη θέση ισορροπίας η κινητική ενέργεια είναι ίση και με την ενέργεια κάθε ταλάντωσης. Συνεπώς</w:t>
      </w:r>
    </w:p>
    <w:p w:rsidR="00CD05E5" w:rsidRPr="008B2AAD" w:rsidRDefault="00CD05E5" w:rsidP="008B2AAD">
      <w:pPr>
        <w:jc w:val="center"/>
        <w:rPr>
          <w:vertAlign w:val="subscript"/>
        </w:rPr>
      </w:pPr>
      <w:r>
        <w:t>Ε</w:t>
      </w:r>
      <w:r>
        <w:rPr>
          <w:vertAlign w:val="subscript"/>
        </w:rPr>
        <w:t>ταλ/2</w:t>
      </w:r>
      <w:r>
        <w:t>&lt;Ε</w:t>
      </w:r>
      <w:r>
        <w:rPr>
          <w:vertAlign w:val="subscript"/>
        </w:rPr>
        <w:t>ταλ/1</w:t>
      </w:r>
    </w:p>
    <w:p w:rsidR="00CD05E5" w:rsidRDefault="00CD05E5" w:rsidP="00C61341">
      <w:pPr>
        <w:ind w:left="170"/>
        <w:rPr>
          <w:shd w:val="clear" w:color="auto" w:fill="FFFFFF"/>
        </w:rPr>
      </w:pPr>
      <w:r w:rsidRPr="00E0375D">
        <w:t xml:space="preserve"> </w:t>
      </w:r>
      <w:r>
        <w:t>Με βάση όλα αυτά, οι απαντήσεις</w:t>
      </w:r>
      <w:r w:rsidRPr="00E0375D">
        <w:rPr>
          <w:shd w:val="clear" w:color="auto" w:fill="FFFFFF"/>
        </w:rPr>
        <w:t xml:space="preserve"> είναι:</w:t>
      </w:r>
    </w:p>
    <w:p w:rsidR="009C00F2" w:rsidRDefault="00F52105" w:rsidP="009C00F2">
      <w:pPr>
        <w:ind w:left="794" w:hanging="340"/>
      </w:pPr>
      <w:r>
        <w:t>α</w:t>
      </w:r>
      <w:r w:rsidRPr="00332C64">
        <w:t xml:space="preserve">)  </w:t>
      </w:r>
      <w:r>
        <w:t xml:space="preserve">Η θέση ισορροπίας της ταλάντωσης </w:t>
      </w:r>
      <w:proofErr w:type="spellStart"/>
      <w:r w:rsidR="006E4543">
        <w:t>έ</w:t>
      </w:r>
      <w:r>
        <w:t>µεινε</w:t>
      </w:r>
      <w:proofErr w:type="spellEnd"/>
      <w:r>
        <w:t xml:space="preserve"> η ίδια.</w:t>
      </w:r>
      <w:r w:rsidRPr="00F52105">
        <w:rPr>
          <w:b/>
          <w:bCs/>
          <w:color w:val="CC0000"/>
        </w:rPr>
        <w:t xml:space="preserve"> </w:t>
      </w:r>
      <w:r w:rsidRPr="00E0375D">
        <w:rPr>
          <w:b/>
          <w:bCs/>
          <w:color w:val="CC0000"/>
        </w:rPr>
        <w:t>Σ</w:t>
      </w:r>
      <w:r w:rsidR="009C00F2" w:rsidRPr="009C00F2">
        <w:t xml:space="preserve"> </w:t>
      </w:r>
    </w:p>
    <w:p w:rsidR="00F52105" w:rsidRDefault="009C00F2" w:rsidP="009C00F2">
      <w:pPr>
        <w:ind w:left="794" w:hanging="340"/>
      </w:pPr>
      <w:r>
        <w:t>β) Κατά τη διάρκεια της κρούσης η ορμή του συστήματος των δύο σωμάτων διατηρείται</w:t>
      </w:r>
      <w:r w:rsidR="00746506">
        <w:t>.</w:t>
      </w:r>
      <w:r w:rsidR="00F52105" w:rsidRPr="00F52105">
        <w:rPr>
          <w:b/>
          <w:bCs/>
          <w:color w:val="CC0000"/>
        </w:rPr>
        <w:t xml:space="preserve"> </w:t>
      </w:r>
      <w:r w:rsidR="00F52105">
        <w:rPr>
          <w:b/>
          <w:bCs/>
          <w:color w:val="CC0000"/>
        </w:rPr>
        <w:t>Λ</w:t>
      </w:r>
    </w:p>
    <w:p w:rsidR="00F52105" w:rsidRDefault="00F52105" w:rsidP="00F52105">
      <w:pPr>
        <w:ind w:left="794" w:hanging="340"/>
      </w:pPr>
      <w:r>
        <w:t>γ</w:t>
      </w:r>
      <w:r w:rsidRPr="00332C64">
        <w:t xml:space="preserve">) </w:t>
      </w:r>
      <w:r>
        <w:t xml:space="preserve">Η ορμή του συστήματος στην οριζόντια διεύθυνση, ελάχιστα πριν την κρούση, είναι ίση με την ορμή του ελάχιστα </w:t>
      </w:r>
      <w:r w:rsidR="006E4543">
        <w:t>μ</w:t>
      </w:r>
      <w:r>
        <w:t xml:space="preserve">ετά την κρούση. </w:t>
      </w:r>
      <w:r w:rsidRPr="00E0375D">
        <w:rPr>
          <w:b/>
          <w:bCs/>
          <w:color w:val="CC0000"/>
        </w:rPr>
        <w:t>Σ</w:t>
      </w:r>
    </w:p>
    <w:p w:rsidR="00F52105" w:rsidRDefault="00F52105" w:rsidP="00F52105">
      <w:pPr>
        <w:ind w:left="794" w:hanging="340"/>
      </w:pPr>
      <w:r>
        <w:t>δ</w:t>
      </w:r>
      <w:r w:rsidRPr="00332C64">
        <w:t xml:space="preserve">) </w:t>
      </w:r>
      <w:r>
        <w:t xml:space="preserve">Η περίοδος της ταλάντωσης αυξήθηκε. </w:t>
      </w:r>
      <w:r w:rsidRPr="00E0375D">
        <w:rPr>
          <w:b/>
          <w:bCs/>
          <w:color w:val="CC0000"/>
        </w:rPr>
        <w:t>Σ</w:t>
      </w:r>
    </w:p>
    <w:p w:rsidR="00F52105" w:rsidRDefault="00F52105" w:rsidP="00F52105">
      <w:pPr>
        <w:ind w:left="794" w:hanging="340"/>
      </w:pPr>
      <w:r>
        <w:t>ε</w:t>
      </w:r>
      <w:r w:rsidRPr="00332C64">
        <w:t xml:space="preserve">) </w:t>
      </w:r>
      <w:r>
        <w:t xml:space="preserve">Η ενέργεια της ταλάντωσης μειώθηκε. </w:t>
      </w:r>
      <w:r w:rsidRPr="00E0375D">
        <w:rPr>
          <w:b/>
          <w:bCs/>
          <w:color w:val="CC0000"/>
        </w:rPr>
        <w:t>Σ</w:t>
      </w:r>
    </w:p>
    <w:p w:rsidR="00F52105" w:rsidRDefault="00426B60" w:rsidP="00426B60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Η απώλεια της μηχα</w:t>
      </w:r>
      <w:r w:rsidR="0036428E">
        <w:rPr>
          <w:shd w:val="clear" w:color="auto" w:fill="FFFFFF"/>
        </w:rPr>
        <w:t>νικής ενέργειας είναι ίση με τη μείωση της κινητικής ενέργειας των δύο σωμάτων κατά τη διάρκεια της κρούσης</w:t>
      </w:r>
      <w:r w:rsidR="00BC38F3">
        <w:rPr>
          <w:shd w:val="clear" w:color="auto" w:fill="FFFFFF"/>
        </w:rPr>
        <w:t>, όπου το Β σώμα έχει πριν την κρούση κινητική ενέργεια ίση με την α</w:t>
      </w:r>
      <w:r w:rsidR="00BC38F3">
        <w:rPr>
          <w:shd w:val="clear" w:color="auto" w:fill="FFFFFF"/>
        </w:rPr>
        <w:t>ρ</w:t>
      </w:r>
      <w:r w:rsidR="00BC38F3">
        <w:rPr>
          <w:shd w:val="clear" w:color="auto" w:fill="FFFFFF"/>
        </w:rPr>
        <w:t>χική δυναμική m</w:t>
      </w:r>
      <w:r w:rsidR="00BC38F3">
        <w:rPr>
          <w:shd w:val="clear" w:color="auto" w:fill="FFFFFF"/>
          <w:vertAlign w:val="subscript"/>
        </w:rPr>
        <w:t>2</w:t>
      </w:r>
      <w:r w:rsidR="00BC38F3">
        <w:rPr>
          <w:shd w:val="clear" w:color="auto" w:fill="FFFFFF"/>
        </w:rPr>
        <w:t>gh</w:t>
      </w:r>
      <w:r w:rsidR="0036428E">
        <w:rPr>
          <w:shd w:val="clear" w:color="auto" w:fill="FFFFFF"/>
        </w:rPr>
        <w:t>:</w:t>
      </w:r>
    </w:p>
    <w:p w:rsidR="0036428E" w:rsidRDefault="0036428E" w:rsidP="00BC38F3">
      <w:pPr>
        <w:jc w:val="center"/>
      </w:pPr>
      <w:proofErr w:type="spellStart"/>
      <w:r>
        <w:rPr>
          <w:shd w:val="clear" w:color="auto" w:fill="FFFFFF"/>
        </w:rPr>
        <w:t>ΔΕ</w:t>
      </w:r>
      <w:r>
        <w:rPr>
          <w:shd w:val="clear" w:color="auto" w:fill="FFFFFF"/>
          <w:vertAlign w:val="subscript"/>
        </w:rPr>
        <w:t>μηχ</w:t>
      </w:r>
      <w:r>
        <w:rPr>
          <w:shd w:val="clear" w:color="auto" w:fill="FFFFFF"/>
        </w:rPr>
        <w:t>=ΔΚ</w:t>
      </w:r>
      <w:proofErr w:type="spellEnd"/>
      <w:r>
        <w:rPr>
          <w:shd w:val="clear" w:color="auto" w:fill="FFFFFF"/>
        </w:rPr>
        <w:t xml:space="preserve">= </w:t>
      </w:r>
      <w:r w:rsidR="003B48D2" w:rsidRPr="00BC38F3">
        <w:rPr>
          <w:position w:val="-24"/>
        </w:rPr>
        <w:object w:dxaOrig="3180" w:dyaOrig="620">
          <v:shape id="_x0000_i1028" type="#_x0000_t75" style="width:158.7pt;height:30.95pt" o:ole="">
            <v:imagedata r:id="rId15" o:title=""/>
          </v:shape>
          <o:OLEObject Type="Embed" ProgID="Equation.3" ShapeID="_x0000_i1028" DrawAspect="Content" ObjectID="_1569264503" r:id="rId16"/>
        </w:object>
      </w:r>
      <w:r w:rsidR="003A495E" w:rsidRPr="003A495E">
        <w:t xml:space="preserve"> </w:t>
      </w:r>
      <w:r w:rsidR="003A495E">
        <w:t>→</w:t>
      </w:r>
    </w:p>
    <w:p w:rsidR="003A495E" w:rsidRDefault="009B294F" w:rsidP="00BC38F3">
      <w:pPr>
        <w:jc w:val="center"/>
      </w:pPr>
      <w:r w:rsidRPr="00827A23">
        <w:rPr>
          <w:position w:val="-32"/>
        </w:rPr>
        <w:object w:dxaOrig="8220" w:dyaOrig="800">
          <v:shape id="_x0000_i1029" type="#_x0000_t75" style="width:411.1pt;height:40.25pt" o:ole="">
            <v:imagedata r:id="rId17" o:title=""/>
          </v:shape>
          <o:OLEObject Type="Embed" ProgID="Equation.3" ShapeID="_x0000_i1029" DrawAspect="Content" ObjectID="_1569264504" r:id="rId18"/>
        </w:object>
      </w:r>
    </w:p>
    <w:p w:rsidR="00827A23" w:rsidRDefault="00160BE9" w:rsidP="00BC38F3">
      <w:pPr>
        <w:jc w:val="center"/>
      </w:pPr>
      <w:r w:rsidRPr="00827A23">
        <w:rPr>
          <w:position w:val="-30"/>
        </w:rPr>
        <w:object w:dxaOrig="2960" w:dyaOrig="680">
          <v:shape id="_x0000_i1030" type="#_x0000_t75" style="width:148.25pt;height:34.05pt" o:ole="">
            <v:imagedata r:id="rId19" o:title=""/>
          </v:shape>
          <o:OLEObject Type="Embed" ProgID="Equation.3" ShapeID="_x0000_i1030" DrawAspect="Content" ObjectID="_1569264505" r:id="rId20"/>
        </w:object>
      </w:r>
    </w:p>
    <w:p w:rsidR="00BC38F3" w:rsidRDefault="00BC38F3" w:rsidP="00BC38F3">
      <w:pPr>
        <w:ind w:left="567"/>
      </w:pPr>
      <w:r>
        <w:t>Από την παραπάνω σχέση φαίνεται ότι η απώλεια της μηχανικής ενέργειας εξαρτάται από το ύψος h, συνεπώς η ελάχιστη τιμή θα προκύψει όταν h→0, οπότε δεν θα έχει κινητική ενέργεια το Β σώμα και η απώλεια της ενέργειας θα οφείλεται στη μείωση της κινητικής ενέργειας (και της ενέργειας ταλ</w:t>
      </w:r>
      <w:r>
        <w:t>ά</w:t>
      </w:r>
      <w:r>
        <w:t>ντωσης) του σώματος Σ.</w:t>
      </w:r>
      <w:r w:rsidR="003B48D2">
        <w:t xml:space="preserve"> </w:t>
      </w:r>
    </w:p>
    <w:p w:rsidR="003B48D2" w:rsidRPr="003B48D2" w:rsidRDefault="003B48D2" w:rsidP="003B48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Η μείωση της ενέργειας ταλάντωσης</w:t>
      </w:r>
      <w:r w:rsidR="00160BE9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 είναι η ενέργεια ταλάντωσης πριν την κρούση μείον </w:t>
      </w:r>
      <w:r>
        <w:t>την ενέ</w:t>
      </w:r>
      <w:r>
        <w:t>ρ</w:t>
      </w:r>
      <w:r>
        <w:t>γεια ταλάντωσης μετά την κρούση. Έτσι αν η κρούση γίνει σε απομάκρυνση x</w:t>
      </w:r>
      <w:r w:rsidR="00160BE9">
        <w:t>,</w:t>
      </w:r>
      <w:r w:rsidR="009B294F">
        <w:t xml:space="preserve"> όπου η ταχύτητα του σώματος Σ είναι υ</w:t>
      </w:r>
      <w:r w:rsidR="009B294F">
        <w:rPr>
          <w:vertAlign w:val="subscript"/>
        </w:rPr>
        <w:t>1</w:t>
      </w:r>
      <w:r>
        <w:t>, θα έχουμε:</w:t>
      </w:r>
    </w:p>
    <w:p w:rsidR="003B48D2" w:rsidRDefault="00F25B49" w:rsidP="00160BE9">
      <w:pPr>
        <w:jc w:val="center"/>
      </w:pPr>
      <w:r w:rsidRPr="003B48D2">
        <w:rPr>
          <w:position w:val="-28"/>
        </w:rPr>
        <w:object w:dxaOrig="7420" w:dyaOrig="680">
          <v:shape id="_x0000_i1031" type="#_x0000_t75" style="width:370.85pt;height:34.05pt" o:ole="">
            <v:imagedata r:id="rId21" o:title=""/>
          </v:shape>
          <o:OLEObject Type="Embed" ProgID="Equation.3" ShapeID="_x0000_i1031" DrawAspect="Content" ObjectID="_1569264506" r:id="rId22"/>
        </w:object>
      </w:r>
      <w:r w:rsidR="003B48D2">
        <w:t>→</w:t>
      </w:r>
    </w:p>
    <w:p w:rsidR="009B294F" w:rsidRDefault="009B294F" w:rsidP="00160BE9">
      <w:pPr>
        <w:jc w:val="center"/>
      </w:pPr>
      <w:r w:rsidRPr="009B294F">
        <w:rPr>
          <w:position w:val="-30"/>
        </w:rPr>
        <w:object w:dxaOrig="2299" w:dyaOrig="680">
          <v:shape id="_x0000_i1032" type="#_x0000_t75" style="width:114.95pt;height:34.05pt" o:ole="">
            <v:imagedata r:id="rId23" o:title=""/>
          </v:shape>
          <o:OLEObject Type="Embed" ProgID="Equation.3" ShapeID="_x0000_i1032" DrawAspect="Content" ObjectID="_1569264507" r:id="rId24"/>
        </w:object>
      </w:r>
    </w:p>
    <w:p w:rsidR="00F25B49" w:rsidRDefault="00160BE9" w:rsidP="0014494D">
      <w:pPr>
        <w:ind w:left="567"/>
      </w:pPr>
      <w:r>
        <w:t>Συνεπώς η μικρότερη μείωση</w:t>
      </w:r>
      <w:r w:rsidR="00F25B49">
        <w:t>,</w:t>
      </w:r>
      <w:r>
        <w:t xml:space="preserve"> θα είναι στην περίπτωση που το Σ έχει την ελάχιστη κινητική ενέργεια. Αλλά αυτό θα συμβαίνει στις ακραίες θέσεις (θέσεις πλάτους) όπου Κ</w:t>
      </w:r>
      <w:r>
        <w:rPr>
          <w:vertAlign w:val="subscript"/>
        </w:rPr>
        <w:t>1</w:t>
      </w:r>
      <w:r>
        <w:t xml:space="preserve">=0, </w:t>
      </w:r>
      <w:r w:rsidR="000B513D">
        <w:t>οπότε</w:t>
      </w:r>
      <w:r>
        <w:t xml:space="preserve"> δεν θα έχουμε καθ</w:t>
      </w:r>
      <w:r>
        <w:t>ό</w:t>
      </w:r>
      <w:r>
        <w:lastRenderedPageBreak/>
        <w:t>λου απώλεια ενέργειας ταλάντωσης</w:t>
      </w:r>
      <w:r w:rsidR="00F25B49">
        <w:t>!!</w:t>
      </w:r>
      <w:r>
        <w:t xml:space="preserve"> </w:t>
      </w:r>
    </w:p>
    <w:p w:rsidR="003B48D2" w:rsidRDefault="00160BE9" w:rsidP="0014494D">
      <w:pPr>
        <w:ind w:left="567"/>
      </w:pPr>
      <w:r>
        <w:t xml:space="preserve">Η ενέργεια τόσο πριν, όσο και μετά την κρούση θα είναι μόνο δυναμική και ίση με </w:t>
      </w:r>
      <w:r w:rsidRPr="004D1733">
        <w:rPr>
          <w:position w:val="-24"/>
        </w:rPr>
        <w:object w:dxaOrig="600" w:dyaOrig="620">
          <v:shape id="_x0000_i1033" type="#_x0000_t75" style="width:30.2pt;height:30.95pt" o:ole="">
            <v:imagedata r:id="rId25" o:title=""/>
          </v:shape>
          <o:OLEObject Type="Embed" ProgID="Equation.3" ShapeID="_x0000_i1033" DrawAspect="Content" ObjectID="_1569264508" r:id="rId26"/>
        </w:object>
      </w:r>
      <w:r>
        <w:t>.</w:t>
      </w:r>
    </w:p>
    <w:p w:rsidR="00F25B49" w:rsidRPr="0014494D" w:rsidRDefault="00F25B49" w:rsidP="003B48D2">
      <w:pPr>
        <w:rPr>
          <w:b/>
          <w:color w:val="FF0000"/>
        </w:rPr>
      </w:pPr>
      <w:r w:rsidRPr="0014494D">
        <w:rPr>
          <w:b/>
          <w:color w:val="FF0000"/>
        </w:rPr>
        <w:t>Σχόλιο:</w:t>
      </w:r>
    </w:p>
    <w:p w:rsidR="00F25B49" w:rsidRDefault="00F25B49" w:rsidP="003B48D2">
      <w:r>
        <w:t>Δεν πρέπει να συγχέουμε την μηχανική ενέργεια με την ενέργεια ταλάντωσης. Στην τελευταία περίπτωση βρήκαμε ότι αν x=</w:t>
      </w:r>
      <w:r w:rsidR="00E77E60" w:rsidRPr="00F25B49">
        <w:rPr>
          <w:position w:val="-4"/>
        </w:rPr>
        <w:object w:dxaOrig="420" w:dyaOrig="260">
          <v:shape id="_x0000_i1034" type="#_x0000_t75" style="width:21.3pt;height:12.75pt" o:ole="">
            <v:imagedata r:id="rId27" o:title=""/>
          </v:shape>
          <o:OLEObject Type="Embed" ProgID="Equation.3" ShapeID="_x0000_i1034" DrawAspect="Content" ObjectID="_1569264509" r:id="rId28"/>
        </w:object>
      </w:r>
      <w:r w:rsidR="0014494D">
        <w:t>τότε δεν έχουμε απώλεια στην ενέργεια ταλάντωσης.</w:t>
      </w:r>
    </w:p>
    <w:p w:rsidR="00F25B49" w:rsidRPr="00160BE9" w:rsidRDefault="00F25B49" w:rsidP="003B48D2">
      <w:pPr>
        <w:rPr>
          <w:shd w:val="clear" w:color="auto" w:fill="FFFFFF"/>
        </w:rPr>
      </w:pPr>
      <w:r>
        <w:t xml:space="preserve">Προσοχή </w:t>
      </w:r>
      <w:r w:rsidR="0014494D">
        <w:t>όμως</w:t>
      </w:r>
      <w:r>
        <w:t>! Δεν θα έχουμε μείωση της ενέργειας ταλάντωσης, θα έχουμε όμως μείωση μηχανικής ενέ</w:t>
      </w:r>
      <w:r>
        <w:t>ρ</w:t>
      </w:r>
      <w:r>
        <w:t xml:space="preserve">γειας, ίση με την κινητική ενέργεια του σώματος Β, δηλαδή </w:t>
      </w:r>
      <w:r w:rsidRPr="00F25B49">
        <w:rPr>
          <w:position w:val="-14"/>
        </w:rPr>
        <w:object w:dxaOrig="1420" w:dyaOrig="380">
          <v:shape id="_x0000_i1035" type="#_x0000_t75" style="width:71.25pt;height:18.95pt" o:ole="">
            <v:imagedata r:id="rId29" o:title=""/>
          </v:shape>
          <o:OLEObject Type="Embed" ProgID="Equation.3" ShapeID="_x0000_i1035" DrawAspect="Content" ObjectID="_1569264510" r:id="rId30"/>
        </w:object>
      </w:r>
    </w:p>
    <w:p w:rsidR="003B48D2" w:rsidRPr="0036428E" w:rsidRDefault="003B48D2" w:rsidP="003B48D2">
      <w:pPr>
        <w:rPr>
          <w:shd w:val="clear" w:color="auto" w:fill="FFFFFF"/>
        </w:rPr>
      </w:pPr>
    </w:p>
    <w:p w:rsidR="00CD05E5" w:rsidRPr="00433AFC" w:rsidRDefault="00CD05E5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D05E5" w:rsidRPr="00332C64" w:rsidRDefault="00CD05E5" w:rsidP="00332C64"/>
    <w:p w:rsidR="003060C3" w:rsidRPr="00CD05E5" w:rsidRDefault="003060C3" w:rsidP="00CD05E5"/>
    <w:sectPr w:rsidR="003060C3" w:rsidRPr="00CD05E5" w:rsidSect="00DE126D">
      <w:headerReference w:type="default" r:id="rId31"/>
      <w:footerReference w:type="default" r:id="rId3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49" w:rsidRDefault="001A1049" w:rsidP="00AE4FC3">
      <w:pPr>
        <w:spacing w:line="240" w:lineRule="auto"/>
      </w:pPr>
      <w:r>
        <w:separator/>
      </w:r>
    </w:p>
  </w:endnote>
  <w:endnote w:type="continuationSeparator" w:id="0">
    <w:p w:rsidR="001A1049" w:rsidRDefault="001A1049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572074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3D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6506">
      <w:rPr>
        <w:rStyle w:val="a8"/>
        <w:noProof/>
      </w:rPr>
      <w:t>2</w:t>
    </w:r>
    <w:r>
      <w:rPr>
        <w:rStyle w:val="a8"/>
      </w:rPr>
      <w:fldChar w:fldCharType="end"/>
    </w:r>
  </w:p>
  <w:p w:rsidR="009A3D94" w:rsidRPr="00D56705" w:rsidRDefault="009A3D9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9A3D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49" w:rsidRDefault="001A1049" w:rsidP="00AE4FC3">
      <w:pPr>
        <w:spacing w:line="240" w:lineRule="auto"/>
      </w:pPr>
      <w:r>
        <w:separator/>
      </w:r>
    </w:p>
  </w:footnote>
  <w:footnote w:type="continuationSeparator" w:id="0">
    <w:p w:rsidR="001A1049" w:rsidRDefault="001A1049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9A3D9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9A3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44C10"/>
    <w:rsid w:val="000450F9"/>
    <w:rsid w:val="00045E1F"/>
    <w:rsid w:val="00046490"/>
    <w:rsid w:val="0005564D"/>
    <w:rsid w:val="000647D8"/>
    <w:rsid w:val="000654ED"/>
    <w:rsid w:val="000766CE"/>
    <w:rsid w:val="00083EB6"/>
    <w:rsid w:val="000854E0"/>
    <w:rsid w:val="0008711B"/>
    <w:rsid w:val="000B22B1"/>
    <w:rsid w:val="000B513D"/>
    <w:rsid w:val="000C6F83"/>
    <w:rsid w:val="000E35C7"/>
    <w:rsid w:val="000E7C18"/>
    <w:rsid w:val="000F73F6"/>
    <w:rsid w:val="00101418"/>
    <w:rsid w:val="001201BF"/>
    <w:rsid w:val="0012755D"/>
    <w:rsid w:val="00142AB7"/>
    <w:rsid w:val="0014494D"/>
    <w:rsid w:val="00155457"/>
    <w:rsid w:val="00160597"/>
    <w:rsid w:val="00160BE9"/>
    <w:rsid w:val="0017048D"/>
    <w:rsid w:val="00172FBB"/>
    <w:rsid w:val="00173CC4"/>
    <w:rsid w:val="00176582"/>
    <w:rsid w:val="0018376B"/>
    <w:rsid w:val="00196091"/>
    <w:rsid w:val="001A1049"/>
    <w:rsid w:val="001A230C"/>
    <w:rsid w:val="001A6BEA"/>
    <w:rsid w:val="001B1AAC"/>
    <w:rsid w:val="001B5A4D"/>
    <w:rsid w:val="001B7FA3"/>
    <w:rsid w:val="001C4A36"/>
    <w:rsid w:val="001E1A73"/>
    <w:rsid w:val="0020015F"/>
    <w:rsid w:val="00207CB4"/>
    <w:rsid w:val="00211A74"/>
    <w:rsid w:val="0021245B"/>
    <w:rsid w:val="0023616F"/>
    <w:rsid w:val="00236781"/>
    <w:rsid w:val="0024101C"/>
    <w:rsid w:val="00246577"/>
    <w:rsid w:val="002620C3"/>
    <w:rsid w:val="00273AF0"/>
    <w:rsid w:val="00274EC7"/>
    <w:rsid w:val="00291BF3"/>
    <w:rsid w:val="002B18DD"/>
    <w:rsid w:val="002B59B2"/>
    <w:rsid w:val="002B73CF"/>
    <w:rsid w:val="002C6E0A"/>
    <w:rsid w:val="002D318F"/>
    <w:rsid w:val="002D45D2"/>
    <w:rsid w:val="002F77C7"/>
    <w:rsid w:val="002F7B03"/>
    <w:rsid w:val="003015B0"/>
    <w:rsid w:val="003060C3"/>
    <w:rsid w:val="0031562A"/>
    <w:rsid w:val="00316A26"/>
    <w:rsid w:val="003234C3"/>
    <w:rsid w:val="00324529"/>
    <w:rsid w:val="003332B6"/>
    <w:rsid w:val="00341904"/>
    <w:rsid w:val="00343AE0"/>
    <w:rsid w:val="00350DBF"/>
    <w:rsid w:val="00354C19"/>
    <w:rsid w:val="00354F39"/>
    <w:rsid w:val="00355748"/>
    <w:rsid w:val="00357E64"/>
    <w:rsid w:val="00362C2D"/>
    <w:rsid w:val="00362F44"/>
    <w:rsid w:val="00363C8F"/>
    <w:rsid w:val="0036428E"/>
    <w:rsid w:val="00374E3B"/>
    <w:rsid w:val="0038249B"/>
    <w:rsid w:val="00387A7B"/>
    <w:rsid w:val="00393F9C"/>
    <w:rsid w:val="003A03DD"/>
    <w:rsid w:val="003A495E"/>
    <w:rsid w:val="003A52F4"/>
    <w:rsid w:val="003B48D2"/>
    <w:rsid w:val="003B5435"/>
    <w:rsid w:val="003C3845"/>
    <w:rsid w:val="003D7B21"/>
    <w:rsid w:val="003E0110"/>
    <w:rsid w:val="003E093A"/>
    <w:rsid w:val="003F0AC4"/>
    <w:rsid w:val="003F7616"/>
    <w:rsid w:val="00405375"/>
    <w:rsid w:val="00415FEF"/>
    <w:rsid w:val="00424039"/>
    <w:rsid w:val="00426B60"/>
    <w:rsid w:val="00436665"/>
    <w:rsid w:val="00440024"/>
    <w:rsid w:val="00465E35"/>
    <w:rsid w:val="004737A3"/>
    <w:rsid w:val="004A12E6"/>
    <w:rsid w:val="004A3EDF"/>
    <w:rsid w:val="004A6170"/>
    <w:rsid w:val="004A7306"/>
    <w:rsid w:val="004B62BD"/>
    <w:rsid w:val="004C47E2"/>
    <w:rsid w:val="004D1408"/>
    <w:rsid w:val="004D18B4"/>
    <w:rsid w:val="004F2F1D"/>
    <w:rsid w:val="0050468F"/>
    <w:rsid w:val="00505FA4"/>
    <w:rsid w:val="00510E5C"/>
    <w:rsid w:val="00523991"/>
    <w:rsid w:val="00524705"/>
    <w:rsid w:val="005457AB"/>
    <w:rsid w:val="005469A8"/>
    <w:rsid w:val="00552154"/>
    <w:rsid w:val="005540F0"/>
    <w:rsid w:val="005547B4"/>
    <w:rsid w:val="00556AFC"/>
    <w:rsid w:val="00557D7B"/>
    <w:rsid w:val="005651C0"/>
    <w:rsid w:val="00572074"/>
    <w:rsid w:val="00580FBA"/>
    <w:rsid w:val="005834AB"/>
    <w:rsid w:val="0059711A"/>
    <w:rsid w:val="005A083C"/>
    <w:rsid w:val="005A78E9"/>
    <w:rsid w:val="005B57EB"/>
    <w:rsid w:val="005B5C72"/>
    <w:rsid w:val="005C4B3E"/>
    <w:rsid w:val="005D4D73"/>
    <w:rsid w:val="005E000E"/>
    <w:rsid w:val="005E07FF"/>
    <w:rsid w:val="005E109A"/>
    <w:rsid w:val="005E170A"/>
    <w:rsid w:val="005F09C6"/>
    <w:rsid w:val="005F31E7"/>
    <w:rsid w:val="005F39B0"/>
    <w:rsid w:val="006005C2"/>
    <w:rsid w:val="00601E5B"/>
    <w:rsid w:val="006023BD"/>
    <w:rsid w:val="006028AF"/>
    <w:rsid w:val="006029A4"/>
    <w:rsid w:val="006040CB"/>
    <w:rsid w:val="006058F7"/>
    <w:rsid w:val="00607923"/>
    <w:rsid w:val="00615447"/>
    <w:rsid w:val="00615779"/>
    <w:rsid w:val="0063049F"/>
    <w:rsid w:val="0064038E"/>
    <w:rsid w:val="00655EB9"/>
    <w:rsid w:val="00660124"/>
    <w:rsid w:val="00660FE0"/>
    <w:rsid w:val="0066300C"/>
    <w:rsid w:val="00665D6F"/>
    <w:rsid w:val="00671330"/>
    <w:rsid w:val="00686626"/>
    <w:rsid w:val="00690A5E"/>
    <w:rsid w:val="00695ADC"/>
    <w:rsid w:val="006A3265"/>
    <w:rsid w:val="006B0685"/>
    <w:rsid w:val="006C2607"/>
    <w:rsid w:val="006C5216"/>
    <w:rsid w:val="006C6E7F"/>
    <w:rsid w:val="006D04F2"/>
    <w:rsid w:val="006D4349"/>
    <w:rsid w:val="006D4771"/>
    <w:rsid w:val="006E1D78"/>
    <w:rsid w:val="006E4543"/>
    <w:rsid w:val="006F28CC"/>
    <w:rsid w:val="006F658D"/>
    <w:rsid w:val="006F772B"/>
    <w:rsid w:val="007000CA"/>
    <w:rsid w:val="00704449"/>
    <w:rsid w:val="00706C93"/>
    <w:rsid w:val="00706E2E"/>
    <w:rsid w:val="007171B8"/>
    <w:rsid w:val="007249DA"/>
    <w:rsid w:val="0073207A"/>
    <w:rsid w:val="00735624"/>
    <w:rsid w:val="00735D33"/>
    <w:rsid w:val="007449DD"/>
    <w:rsid w:val="00745F49"/>
    <w:rsid w:val="00746506"/>
    <w:rsid w:val="0078226B"/>
    <w:rsid w:val="00784759"/>
    <w:rsid w:val="007A3385"/>
    <w:rsid w:val="007A7663"/>
    <w:rsid w:val="007B0D12"/>
    <w:rsid w:val="007B5D13"/>
    <w:rsid w:val="007B5DBA"/>
    <w:rsid w:val="007D51BA"/>
    <w:rsid w:val="007E0214"/>
    <w:rsid w:val="007E458C"/>
    <w:rsid w:val="007E6479"/>
    <w:rsid w:val="007E7AE3"/>
    <w:rsid w:val="007F2938"/>
    <w:rsid w:val="008139F9"/>
    <w:rsid w:val="00823065"/>
    <w:rsid w:val="00827A23"/>
    <w:rsid w:val="00835CD4"/>
    <w:rsid w:val="00836AAE"/>
    <w:rsid w:val="008424F3"/>
    <w:rsid w:val="0085046C"/>
    <w:rsid w:val="00873395"/>
    <w:rsid w:val="008765BF"/>
    <w:rsid w:val="00876B1E"/>
    <w:rsid w:val="00881546"/>
    <w:rsid w:val="00881D07"/>
    <w:rsid w:val="00881E91"/>
    <w:rsid w:val="00893869"/>
    <w:rsid w:val="008A2530"/>
    <w:rsid w:val="008B36AF"/>
    <w:rsid w:val="008C130F"/>
    <w:rsid w:val="008C52A2"/>
    <w:rsid w:val="008D4F31"/>
    <w:rsid w:val="0090092A"/>
    <w:rsid w:val="00900A2C"/>
    <w:rsid w:val="00907F46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B36"/>
    <w:rsid w:val="00937718"/>
    <w:rsid w:val="00942A00"/>
    <w:rsid w:val="009441EF"/>
    <w:rsid w:val="0094658F"/>
    <w:rsid w:val="00960A34"/>
    <w:rsid w:val="00965E07"/>
    <w:rsid w:val="009715B3"/>
    <w:rsid w:val="00980F54"/>
    <w:rsid w:val="009873A2"/>
    <w:rsid w:val="00987AD4"/>
    <w:rsid w:val="00995CE7"/>
    <w:rsid w:val="009A0EAB"/>
    <w:rsid w:val="009A3D94"/>
    <w:rsid w:val="009A5F71"/>
    <w:rsid w:val="009B20E9"/>
    <w:rsid w:val="009B294F"/>
    <w:rsid w:val="009B7E4E"/>
    <w:rsid w:val="009C00F2"/>
    <w:rsid w:val="009D05B9"/>
    <w:rsid w:val="009D2A93"/>
    <w:rsid w:val="009D2B72"/>
    <w:rsid w:val="009D36ED"/>
    <w:rsid w:val="009D6049"/>
    <w:rsid w:val="009D6BE9"/>
    <w:rsid w:val="009D7943"/>
    <w:rsid w:val="009E1CF0"/>
    <w:rsid w:val="009F39A5"/>
    <w:rsid w:val="009F5FBF"/>
    <w:rsid w:val="00A00627"/>
    <w:rsid w:val="00A02B9B"/>
    <w:rsid w:val="00A1295D"/>
    <w:rsid w:val="00A21151"/>
    <w:rsid w:val="00A27DFE"/>
    <w:rsid w:val="00A3174C"/>
    <w:rsid w:val="00A337C0"/>
    <w:rsid w:val="00A35E77"/>
    <w:rsid w:val="00A56B3B"/>
    <w:rsid w:val="00A571FA"/>
    <w:rsid w:val="00A823AB"/>
    <w:rsid w:val="00A86152"/>
    <w:rsid w:val="00A943EE"/>
    <w:rsid w:val="00A974A0"/>
    <w:rsid w:val="00AA06BA"/>
    <w:rsid w:val="00AA7D02"/>
    <w:rsid w:val="00AB2D04"/>
    <w:rsid w:val="00AC0CEE"/>
    <w:rsid w:val="00AC1229"/>
    <w:rsid w:val="00AC7A09"/>
    <w:rsid w:val="00AD0964"/>
    <w:rsid w:val="00AD64EA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74861"/>
    <w:rsid w:val="00B80E75"/>
    <w:rsid w:val="00B83F4E"/>
    <w:rsid w:val="00BC38F3"/>
    <w:rsid w:val="00BD6917"/>
    <w:rsid w:val="00C0755A"/>
    <w:rsid w:val="00C128B2"/>
    <w:rsid w:val="00C13690"/>
    <w:rsid w:val="00C13C2B"/>
    <w:rsid w:val="00C24220"/>
    <w:rsid w:val="00C24A07"/>
    <w:rsid w:val="00C325DD"/>
    <w:rsid w:val="00C403A2"/>
    <w:rsid w:val="00C43688"/>
    <w:rsid w:val="00C44B19"/>
    <w:rsid w:val="00C50A49"/>
    <w:rsid w:val="00C61341"/>
    <w:rsid w:val="00C62B69"/>
    <w:rsid w:val="00C640D8"/>
    <w:rsid w:val="00C65A33"/>
    <w:rsid w:val="00C716EC"/>
    <w:rsid w:val="00C71BC7"/>
    <w:rsid w:val="00C86C9D"/>
    <w:rsid w:val="00C90A22"/>
    <w:rsid w:val="00C91165"/>
    <w:rsid w:val="00C92EB6"/>
    <w:rsid w:val="00C975B5"/>
    <w:rsid w:val="00CA05F0"/>
    <w:rsid w:val="00CA339E"/>
    <w:rsid w:val="00CA3773"/>
    <w:rsid w:val="00CB476B"/>
    <w:rsid w:val="00CB504D"/>
    <w:rsid w:val="00CC00DA"/>
    <w:rsid w:val="00CC0D29"/>
    <w:rsid w:val="00CD05E5"/>
    <w:rsid w:val="00CE07B4"/>
    <w:rsid w:val="00CE4F3A"/>
    <w:rsid w:val="00CE7BB0"/>
    <w:rsid w:val="00CF09F3"/>
    <w:rsid w:val="00CF393D"/>
    <w:rsid w:val="00D00793"/>
    <w:rsid w:val="00D04001"/>
    <w:rsid w:val="00D04551"/>
    <w:rsid w:val="00D052ED"/>
    <w:rsid w:val="00D153EC"/>
    <w:rsid w:val="00D15882"/>
    <w:rsid w:val="00D268BF"/>
    <w:rsid w:val="00D3017F"/>
    <w:rsid w:val="00D51391"/>
    <w:rsid w:val="00D55B86"/>
    <w:rsid w:val="00D60327"/>
    <w:rsid w:val="00D65DDF"/>
    <w:rsid w:val="00D72AC2"/>
    <w:rsid w:val="00D80CE6"/>
    <w:rsid w:val="00D963A6"/>
    <w:rsid w:val="00D971A8"/>
    <w:rsid w:val="00DA0E27"/>
    <w:rsid w:val="00DA2149"/>
    <w:rsid w:val="00DA4333"/>
    <w:rsid w:val="00DB2786"/>
    <w:rsid w:val="00DC00D4"/>
    <w:rsid w:val="00DC0931"/>
    <w:rsid w:val="00DC2882"/>
    <w:rsid w:val="00DC2C89"/>
    <w:rsid w:val="00DD24D9"/>
    <w:rsid w:val="00DD62FE"/>
    <w:rsid w:val="00DD6693"/>
    <w:rsid w:val="00DE126D"/>
    <w:rsid w:val="00DE691D"/>
    <w:rsid w:val="00DE6E01"/>
    <w:rsid w:val="00DF37FB"/>
    <w:rsid w:val="00E012D1"/>
    <w:rsid w:val="00E0509A"/>
    <w:rsid w:val="00E15951"/>
    <w:rsid w:val="00E16123"/>
    <w:rsid w:val="00E24318"/>
    <w:rsid w:val="00E26599"/>
    <w:rsid w:val="00E42734"/>
    <w:rsid w:val="00E42B70"/>
    <w:rsid w:val="00E757F8"/>
    <w:rsid w:val="00E77E60"/>
    <w:rsid w:val="00E80195"/>
    <w:rsid w:val="00E80FF3"/>
    <w:rsid w:val="00E85B10"/>
    <w:rsid w:val="00E90596"/>
    <w:rsid w:val="00E92BF9"/>
    <w:rsid w:val="00EC02BC"/>
    <w:rsid w:val="00EC1C8A"/>
    <w:rsid w:val="00EC45E1"/>
    <w:rsid w:val="00EC4839"/>
    <w:rsid w:val="00EC52A9"/>
    <w:rsid w:val="00ED5FE2"/>
    <w:rsid w:val="00F06DAB"/>
    <w:rsid w:val="00F078E8"/>
    <w:rsid w:val="00F116B4"/>
    <w:rsid w:val="00F2171C"/>
    <w:rsid w:val="00F25B49"/>
    <w:rsid w:val="00F26692"/>
    <w:rsid w:val="00F477F0"/>
    <w:rsid w:val="00F52105"/>
    <w:rsid w:val="00F71F17"/>
    <w:rsid w:val="00F74F56"/>
    <w:rsid w:val="00F756A0"/>
    <w:rsid w:val="00F8348E"/>
    <w:rsid w:val="00F927A8"/>
    <w:rsid w:val="00FB020D"/>
    <w:rsid w:val="00FB12A1"/>
    <w:rsid w:val="00FB153F"/>
    <w:rsid w:val="00FB373B"/>
    <w:rsid w:val="00FB3BD7"/>
    <w:rsid w:val="00FB3E25"/>
    <w:rsid w:val="00FB4D2C"/>
    <w:rsid w:val="00FB52DE"/>
    <w:rsid w:val="00FD030E"/>
    <w:rsid w:val="00FD391D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33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3</cp:revision>
  <cp:lastPrinted>2017-10-11T19:01:00Z</cp:lastPrinted>
  <dcterms:created xsi:type="dcterms:W3CDTF">2017-10-11T19:01:00Z</dcterms:created>
  <dcterms:modified xsi:type="dcterms:W3CDTF">2017-10-11T19:02:00Z</dcterms:modified>
</cp:coreProperties>
</file>