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3"/>
      </w:tblGrid>
      <w:tr w:rsidR="008945AD" w:rsidTr="00465D8E">
        <w:trPr>
          <w:trHeight w:val="64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8945AD" w:rsidRPr="00A73311" w:rsidRDefault="00CE0879" w:rsidP="00465D8E">
            <w:pPr>
              <w:pStyle w:val="10"/>
            </w:pPr>
            <w:r>
              <w:t>Αν και συγκοινωνούντα δοχεία…</w:t>
            </w:r>
          </w:p>
        </w:tc>
      </w:tr>
    </w:tbl>
    <w:p w:rsidR="00CE0879" w:rsidRDefault="000029D0" w:rsidP="008945AD">
      <w:pPr>
        <w:spacing w:before="200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39.1pt;margin-top:50.4pt;width:136.8pt;height:117.6pt;z-index:251659264;mso-position-horizontal-relative:margin;mso-position-vertical-relative:margin" filled="t" fillcolor="#ffe599 [1303]">
            <v:imagedata r:id="rId8" o:title=""/>
            <w10:wrap type="square" anchorx="margin" anchory="margin"/>
          </v:shape>
          <o:OLEObject Type="Embed" ProgID="Visio.Drawing.11" ShapeID="_x0000_s1027" DrawAspect="Content" ObjectID="_1641149386" r:id="rId9"/>
        </w:object>
      </w:r>
      <w:r w:rsidR="00CE0879">
        <w:t>Το κλειστό δοχείο του σχήματος περιέχει νερό σε ύψος h,</w:t>
      </w:r>
      <w:r w:rsidR="00D615E8">
        <w:t xml:space="preserve"> πάνω από το οποίο έχει εγκλωβιστεί μια ποσότητα αέρα,</w:t>
      </w:r>
      <w:r w:rsidR="00CE0879">
        <w:t xml:space="preserve"> ενώ πολύ κοντά στον πυθμένα του υπάρχει μια μικρή οπή που κλείνεται με τάπα. </w:t>
      </w:r>
      <w:r w:rsidR="00D615E8">
        <w:t>Τ</w:t>
      </w:r>
      <w:r w:rsidR="00CE0879">
        <w:t>ο δοχείο έχει συνδεθεί με ανοικτό κατακόρυφο σωλήνα, στον οποίο το νερό έχει ανέβει μέχρι ύψος Η.</w:t>
      </w:r>
    </w:p>
    <w:p w:rsidR="00D615E8" w:rsidRDefault="00D615E8" w:rsidP="005C20F7">
      <w:pPr>
        <w:ind w:left="453" w:hanging="340"/>
      </w:pPr>
      <w:r>
        <w:t xml:space="preserve">i) </w:t>
      </w:r>
      <w:r w:rsidR="005C20F7">
        <w:t xml:space="preserve">  </w:t>
      </w:r>
      <w:r>
        <w:t>Η πίεση του εγκλωβισμένου αέρα</w:t>
      </w:r>
      <w:r w:rsidR="00176D96">
        <w:t xml:space="preserve"> στο πάνω μέρος του δοχείου,</w:t>
      </w:r>
      <w:r>
        <w:t xml:space="preserve"> έχει τιμή:</w:t>
      </w:r>
      <w:r w:rsidR="00C70080">
        <w:t xml:space="preserve"> </w:t>
      </w:r>
    </w:p>
    <w:p w:rsidR="00D615E8" w:rsidRPr="00176D96" w:rsidRDefault="00D615E8" w:rsidP="005C20F7">
      <w:pPr>
        <w:ind w:left="453" w:hanging="340"/>
        <w:jc w:val="center"/>
      </w:pPr>
      <w:r>
        <w:t>α) p</w:t>
      </w:r>
      <w:r>
        <w:rPr>
          <w:vertAlign w:val="subscript"/>
        </w:rPr>
        <w:t>1</w:t>
      </w:r>
      <w:r>
        <w:t xml:space="preserve"> &lt; </w:t>
      </w:r>
      <w:proofErr w:type="spellStart"/>
      <w:r>
        <w:t>p</w:t>
      </w:r>
      <w:r>
        <w:rPr>
          <w:vertAlign w:val="subscript"/>
        </w:rPr>
        <w:t>ατμ</w:t>
      </w:r>
      <w:proofErr w:type="spellEnd"/>
      <w:r>
        <w:t>,   β) p</w:t>
      </w:r>
      <w:r>
        <w:rPr>
          <w:vertAlign w:val="subscript"/>
        </w:rPr>
        <w:t>1</w:t>
      </w:r>
      <w:r>
        <w:t xml:space="preserve"> = </w:t>
      </w:r>
      <w:proofErr w:type="spellStart"/>
      <w:r>
        <w:t>p</w:t>
      </w:r>
      <w:r>
        <w:rPr>
          <w:vertAlign w:val="subscript"/>
        </w:rPr>
        <w:t>ατμ</w:t>
      </w:r>
      <w:proofErr w:type="spellEnd"/>
      <w:r>
        <w:t>,   γ)  p</w:t>
      </w:r>
      <w:r>
        <w:rPr>
          <w:vertAlign w:val="subscript"/>
        </w:rPr>
        <w:t>1</w:t>
      </w:r>
      <w:r>
        <w:t xml:space="preserve"> &gt;</w:t>
      </w:r>
      <w:r w:rsidR="00E668E3">
        <w:t xml:space="preserve"> </w:t>
      </w:r>
      <w:proofErr w:type="spellStart"/>
      <w:r>
        <w:t>p</w:t>
      </w:r>
      <w:r>
        <w:rPr>
          <w:vertAlign w:val="subscript"/>
        </w:rPr>
        <w:t>ατμ</w:t>
      </w:r>
      <w:proofErr w:type="spellEnd"/>
      <w:r w:rsidR="00176D96">
        <w:t>.</w:t>
      </w:r>
    </w:p>
    <w:p w:rsidR="00D615E8" w:rsidRDefault="00D615E8" w:rsidP="005C20F7">
      <w:pPr>
        <w:ind w:left="453" w:hanging="169"/>
      </w:pPr>
      <w:r>
        <w:t xml:space="preserve">όπου </w:t>
      </w:r>
      <w:proofErr w:type="spellStart"/>
      <w:r>
        <w:t>p</w:t>
      </w:r>
      <w:r>
        <w:rPr>
          <w:vertAlign w:val="subscript"/>
        </w:rPr>
        <w:t>ατμ</w:t>
      </w:r>
      <w:proofErr w:type="spellEnd"/>
      <w:r>
        <w:t xml:space="preserve"> η ατμοσφαιρική πίεση, στο εξωτερικό του δοχείου.</w:t>
      </w:r>
    </w:p>
    <w:p w:rsidR="00D615E8" w:rsidRDefault="00D615E8" w:rsidP="005C20F7">
      <w:pPr>
        <w:ind w:left="453" w:hanging="340"/>
      </w:pPr>
      <w:proofErr w:type="spellStart"/>
      <w:r>
        <w:t>ii</w:t>
      </w:r>
      <w:proofErr w:type="spellEnd"/>
      <w:r>
        <w:t>) Ανοί</w:t>
      </w:r>
      <w:r w:rsidR="00303DDE">
        <w:t>γ</w:t>
      </w:r>
      <w:r>
        <w:t>ουμε την τάπα και αποκα</w:t>
      </w:r>
      <w:r w:rsidR="00303DDE">
        <w:t xml:space="preserve">θίσταται μια </w:t>
      </w:r>
      <w:r>
        <w:t>μόνιμη ροή</w:t>
      </w:r>
      <w:r w:rsidR="00303DDE">
        <w:t>. Η</w:t>
      </w:r>
      <w:r>
        <w:t xml:space="preserve"> ταχύτητα εκροής </w:t>
      </w:r>
      <w:r w:rsidR="00303DDE">
        <w:t xml:space="preserve">του νερού </w:t>
      </w:r>
      <w:r>
        <w:t>είναι ίση:</w:t>
      </w:r>
    </w:p>
    <w:p w:rsidR="00D615E8" w:rsidRDefault="00D615E8" w:rsidP="00176D96">
      <w:pPr>
        <w:jc w:val="center"/>
      </w:pPr>
      <w:r>
        <w:t xml:space="preserve">α) </w:t>
      </w:r>
      <m:oMath>
        <m:r>
          <w:rPr>
            <w:rFonts w:ascii="Cambria Math" w:hAnsi="Cambria Math"/>
          </w:rPr>
          <m:t>υ=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US"/>
              </w:rPr>
              <m:t>gH</m:t>
            </m:r>
          </m:e>
        </m:rad>
      </m:oMath>
      <w:r w:rsidRPr="00303DDE">
        <w:t xml:space="preserve">,   </w:t>
      </w:r>
      <w:r>
        <w:t>β</w:t>
      </w:r>
      <w:r w:rsidRPr="00303DDE">
        <w:t xml:space="preserve">) </w:t>
      </w:r>
      <m:oMath>
        <m:r>
          <w:rPr>
            <w:rFonts w:ascii="Cambria Math" w:hAnsi="Cambria Math"/>
          </w:rPr>
          <m:t>υ&lt;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US"/>
              </w:rPr>
              <m:t>g</m:t>
            </m:r>
            <m:r>
              <w:rPr>
                <w:rFonts w:ascii="Cambria Math" w:hAnsi="Cambria Math"/>
              </w:rPr>
              <m:t>h</m:t>
            </m:r>
          </m:e>
        </m:rad>
      </m:oMath>
      <w:r w:rsidR="00303DDE" w:rsidRPr="00303DDE">
        <w:t xml:space="preserve">,   </w:t>
      </w:r>
      <w:r w:rsidR="00303DDE">
        <w:t xml:space="preserve">γ) </w:t>
      </w:r>
      <m:oMath>
        <m:r>
          <w:rPr>
            <w:rFonts w:ascii="Cambria Math" w:hAnsi="Cambria Math"/>
          </w:rPr>
          <m:t>υ=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US"/>
              </w:rPr>
              <m:t>g</m:t>
            </m:r>
            <m:r>
              <w:rPr>
                <w:rFonts w:ascii="Cambria Math" w:hAnsi="Cambria Math"/>
              </w:rPr>
              <m:t>h</m:t>
            </m:r>
          </m:e>
        </m:rad>
      </m:oMath>
      <w:r w:rsidR="00303DDE">
        <w:t xml:space="preserve"> ,    δ)  </w:t>
      </w:r>
      <m:oMath>
        <m:r>
          <w:rPr>
            <w:rFonts w:ascii="Cambria Math" w:hAnsi="Cambria Math"/>
          </w:rPr>
          <m:t>υ&gt;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  <w:lang w:val="en-US"/>
              </w:rPr>
              <m:t>g</m:t>
            </m:r>
            <m:r>
              <w:rPr>
                <w:rFonts w:ascii="Cambria Math" w:hAnsi="Cambria Math"/>
              </w:rPr>
              <m:t>h</m:t>
            </m:r>
          </m:e>
        </m:rad>
      </m:oMath>
    </w:p>
    <w:p w:rsidR="0012482A" w:rsidRDefault="00E668E3" w:rsidP="008D1A08">
      <w:r>
        <w:t>Να δικαιολογήσετε τις απαντήσεις σας</w:t>
      </w:r>
      <w:r w:rsidR="008A1609">
        <w:t xml:space="preserve"> θεωρώντας </w:t>
      </w:r>
      <w:r w:rsidR="0012482A">
        <w:t>το νερό ασυμπίεστο ιδανικό ρευστό</w:t>
      </w:r>
      <w:r w:rsidR="00E31481">
        <w:t>, ενώ η</w:t>
      </w:r>
      <w:r w:rsidR="005739DB">
        <w:t xml:space="preserve"> βάση του δοχείου </w:t>
      </w:r>
      <w:r w:rsidR="00E31481">
        <w:t xml:space="preserve">έχει </w:t>
      </w:r>
      <w:r w:rsidR="005739DB">
        <w:t>πολύ μεγαλύτερο εμβαδό</w:t>
      </w:r>
      <w:bookmarkStart w:id="0" w:name="_GoBack"/>
      <w:bookmarkEnd w:id="0"/>
      <w:r w:rsidR="005739DB">
        <w:t xml:space="preserve">ν από το αντίστοιχο της </w:t>
      </w:r>
      <w:r w:rsidR="00C41378">
        <w:t>οπής.</w:t>
      </w:r>
      <w:r w:rsidR="005739DB">
        <w:t xml:space="preserve"> </w:t>
      </w:r>
    </w:p>
    <w:p w:rsidR="0012482A" w:rsidRPr="00BA4806" w:rsidRDefault="0012482A" w:rsidP="008D1A08">
      <w:pPr>
        <w:rPr>
          <w:b/>
          <w:bCs/>
          <w:i/>
          <w:iCs/>
          <w:color w:val="0070C0"/>
          <w:sz w:val="24"/>
          <w:szCs w:val="24"/>
        </w:rPr>
      </w:pPr>
      <w:r w:rsidRPr="00BA4806">
        <w:rPr>
          <w:b/>
          <w:bCs/>
          <w:i/>
          <w:iCs/>
          <w:color w:val="0070C0"/>
          <w:sz w:val="24"/>
          <w:szCs w:val="24"/>
        </w:rPr>
        <w:t>Απάντηση:</w:t>
      </w:r>
    </w:p>
    <w:p w:rsidR="0012482A" w:rsidRDefault="00B64B6F" w:rsidP="00B64B6F">
      <w:pPr>
        <w:pStyle w:val="1"/>
      </w:pPr>
      <w:r>
        <w:rPr>
          <w:noProof/>
        </w:rPr>
        <w:object w:dxaOrig="225" w:dyaOrig="225">
          <v:shape id="_x0000_s1028" type="#_x0000_t75" style="position:absolute;left:0;text-align:left;margin-left:342.7pt;margin-top:323.35pt;width:136.8pt;height:133.2pt;z-index:251661312;mso-position-horizontal-relative:margin;mso-position-vertical-relative:margin" filled="t" fillcolor="#ffe599 [1303]">
            <v:imagedata r:id="rId10" o:title=""/>
            <w10:wrap type="square" anchorx="margin" anchory="margin"/>
          </v:shape>
          <o:OLEObject Type="Embed" ProgID="Visio.Drawing.11" ShapeID="_x0000_s1028" DrawAspect="Content" ObjectID="_1641149387" r:id="rId11"/>
        </w:object>
      </w:r>
      <w:r>
        <w:t>Έστω τα σημεία Α και Β, όπου το Α βρίσκεται στην επιφάνεια του νερού στο</w:t>
      </w:r>
      <w:r w:rsidR="004B5237">
        <w:t xml:space="preserve"> εσωτερικό του</w:t>
      </w:r>
      <w:r>
        <w:t xml:space="preserve"> δοχείο</w:t>
      </w:r>
      <w:r w:rsidR="004B5237">
        <w:t>υ</w:t>
      </w:r>
      <w:r>
        <w:t xml:space="preserve"> και το Β στο σωλήνα και τα οποία βρίσκονται στο ίδιο οριζόντιο επίπεδο. Για τις αντίστοιχες πιέσεις ισχύει:</w:t>
      </w:r>
    </w:p>
    <w:p w:rsidR="00B64B6F" w:rsidRPr="00812D8A" w:rsidRDefault="00B64B6F" w:rsidP="004B5237">
      <w:pPr>
        <w:jc w:val="center"/>
        <w:rPr>
          <w:i/>
          <w:iCs/>
          <w:sz w:val="24"/>
          <w:szCs w:val="24"/>
        </w:rPr>
      </w:pPr>
      <w:proofErr w:type="spellStart"/>
      <w:r w:rsidRPr="00812D8A">
        <w:rPr>
          <w:i/>
          <w:iCs/>
          <w:sz w:val="24"/>
          <w:szCs w:val="24"/>
        </w:rPr>
        <w:t>p</w:t>
      </w:r>
      <w:r w:rsidRPr="00812D8A">
        <w:rPr>
          <w:i/>
          <w:iCs/>
          <w:sz w:val="24"/>
          <w:szCs w:val="24"/>
          <w:vertAlign w:val="subscript"/>
        </w:rPr>
        <w:t>Α</w:t>
      </w:r>
      <w:proofErr w:type="spellEnd"/>
      <w:r w:rsidRPr="00812D8A">
        <w:rPr>
          <w:i/>
          <w:iCs/>
          <w:sz w:val="24"/>
          <w:szCs w:val="24"/>
        </w:rPr>
        <w:t>=</w:t>
      </w:r>
      <w:proofErr w:type="spellStart"/>
      <w:r w:rsidRPr="00812D8A">
        <w:rPr>
          <w:i/>
          <w:iCs/>
          <w:sz w:val="24"/>
          <w:szCs w:val="24"/>
        </w:rPr>
        <w:t>p</w:t>
      </w:r>
      <w:r w:rsidRPr="00812D8A">
        <w:rPr>
          <w:i/>
          <w:iCs/>
          <w:sz w:val="24"/>
          <w:szCs w:val="24"/>
          <w:vertAlign w:val="subscript"/>
        </w:rPr>
        <w:t>Β</w:t>
      </w:r>
      <w:proofErr w:type="spellEnd"/>
      <w:r w:rsidRPr="00812D8A">
        <w:rPr>
          <w:i/>
          <w:iCs/>
          <w:sz w:val="24"/>
          <w:szCs w:val="24"/>
        </w:rPr>
        <w:t xml:space="preserve"> →  </w:t>
      </w:r>
      <w:proofErr w:type="spellStart"/>
      <w:r w:rsidRPr="00812D8A">
        <w:rPr>
          <w:i/>
          <w:iCs/>
          <w:sz w:val="24"/>
          <w:szCs w:val="24"/>
        </w:rPr>
        <w:t>p</w:t>
      </w:r>
      <w:r w:rsidR="004B5237" w:rsidRPr="00812D8A">
        <w:rPr>
          <w:i/>
          <w:iCs/>
          <w:sz w:val="24"/>
          <w:szCs w:val="24"/>
          <w:vertAlign w:val="subscript"/>
        </w:rPr>
        <w:t>Α</w:t>
      </w:r>
      <w:proofErr w:type="spellEnd"/>
      <w:r w:rsidRPr="00812D8A">
        <w:rPr>
          <w:i/>
          <w:iCs/>
          <w:sz w:val="24"/>
          <w:szCs w:val="24"/>
        </w:rPr>
        <w:t>=</w:t>
      </w:r>
      <w:proofErr w:type="spellStart"/>
      <w:r w:rsidRPr="00812D8A">
        <w:rPr>
          <w:i/>
          <w:iCs/>
          <w:sz w:val="24"/>
          <w:szCs w:val="24"/>
        </w:rPr>
        <w:t>p</w:t>
      </w:r>
      <w:r w:rsidRPr="00812D8A">
        <w:rPr>
          <w:i/>
          <w:iCs/>
          <w:sz w:val="24"/>
          <w:szCs w:val="24"/>
          <w:vertAlign w:val="subscript"/>
        </w:rPr>
        <w:t>ατμ</w:t>
      </w:r>
      <w:proofErr w:type="spellEnd"/>
      <w:r w:rsidRPr="00812D8A">
        <w:rPr>
          <w:i/>
          <w:iCs/>
          <w:sz w:val="24"/>
          <w:szCs w:val="24"/>
        </w:rPr>
        <w:t xml:space="preserve">+ </w:t>
      </w:r>
      <w:proofErr w:type="spellStart"/>
      <w:r w:rsidRPr="00812D8A">
        <w:rPr>
          <w:i/>
          <w:iCs/>
          <w:sz w:val="24"/>
          <w:szCs w:val="24"/>
        </w:rPr>
        <w:t>ρgy</w:t>
      </w:r>
      <w:proofErr w:type="spellEnd"/>
    </w:p>
    <w:p w:rsidR="004B5237" w:rsidRDefault="004B5237" w:rsidP="004B5237">
      <w:pPr>
        <w:ind w:left="340"/>
      </w:pPr>
      <w:r>
        <w:t>Όμως η πίεση στο σημείο Α, είναι ίση με την πίεση του εγκλωβισμένου, πάνω από το νερό, αέρα, οπότε:</w:t>
      </w:r>
    </w:p>
    <w:p w:rsidR="004B5237" w:rsidRPr="00812D8A" w:rsidRDefault="005739DB" w:rsidP="004B5237">
      <w:pPr>
        <w:jc w:val="center"/>
        <w:rPr>
          <w:i/>
          <w:iCs/>
          <w:sz w:val="24"/>
          <w:szCs w:val="24"/>
        </w:rPr>
      </w:pPr>
      <w:r>
        <w:rPr>
          <w:noProof/>
        </w:rPr>
        <w:object w:dxaOrig="225" w:dyaOrig="225">
          <v:shape id="_x0000_s1029" type="#_x0000_t75" style="position:absolute;left:0;text-align:left;margin-left:360.05pt;margin-top:484.5pt;width:121.95pt;height:124pt;z-index:251663360;mso-position-horizontal-relative:margin;mso-position-vertical-relative:margin" filled="t" fillcolor="#ffe599 [1303]">
            <v:imagedata r:id="rId12" o:title=""/>
            <w10:wrap type="square" anchorx="margin" anchory="margin"/>
          </v:shape>
          <o:OLEObject Type="Embed" ProgID="Visio.Drawing.11" ShapeID="_x0000_s1029" DrawAspect="Content" ObjectID="_1641149388" r:id="rId13"/>
        </w:object>
      </w:r>
      <w:r w:rsidR="004B5237" w:rsidRPr="00812D8A">
        <w:rPr>
          <w:i/>
          <w:iCs/>
          <w:sz w:val="24"/>
          <w:szCs w:val="24"/>
        </w:rPr>
        <w:t>p</w:t>
      </w:r>
      <w:r w:rsidR="004B5237" w:rsidRPr="00812D8A">
        <w:rPr>
          <w:i/>
          <w:iCs/>
          <w:sz w:val="24"/>
          <w:szCs w:val="24"/>
          <w:vertAlign w:val="subscript"/>
        </w:rPr>
        <w:t>1</w:t>
      </w:r>
      <w:r w:rsidR="004B5237" w:rsidRPr="00812D8A">
        <w:rPr>
          <w:i/>
          <w:iCs/>
          <w:sz w:val="24"/>
          <w:szCs w:val="24"/>
        </w:rPr>
        <w:t xml:space="preserve">= </w:t>
      </w:r>
      <w:proofErr w:type="spellStart"/>
      <w:r w:rsidR="004B5237" w:rsidRPr="00812D8A">
        <w:rPr>
          <w:i/>
          <w:iCs/>
          <w:sz w:val="24"/>
          <w:szCs w:val="24"/>
        </w:rPr>
        <w:t>p</w:t>
      </w:r>
      <w:r w:rsidR="004B5237" w:rsidRPr="00812D8A">
        <w:rPr>
          <w:i/>
          <w:iCs/>
          <w:sz w:val="24"/>
          <w:szCs w:val="24"/>
          <w:vertAlign w:val="subscript"/>
        </w:rPr>
        <w:t>Α</w:t>
      </w:r>
      <w:proofErr w:type="spellEnd"/>
      <w:r w:rsidR="004B5237" w:rsidRPr="00812D8A">
        <w:rPr>
          <w:i/>
          <w:iCs/>
          <w:sz w:val="24"/>
          <w:szCs w:val="24"/>
        </w:rPr>
        <w:t>=</w:t>
      </w:r>
      <w:r w:rsidR="004B5237" w:rsidRPr="00812D8A">
        <w:rPr>
          <w:i/>
          <w:iCs/>
          <w:sz w:val="24"/>
          <w:szCs w:val="24"/>
        </w:rPr>
        <w:t xml:space="preserve"> </w:t>
      </w:r>
      <w:proofErr w:type="spellStart"/>
      <w:r w:rsidR="004B5237" w:rsidRPr="00812D8A">
        <w:rPr>
          <w:i/>
          <w:iCs/>
          <w:sz w:val="24"/>
          <w:szCs w:val="24"/>
        </w:rPr>
        <w:t>p</w:t>
      </w:r>
      <w:r w:rsidR="004B5237" w:rsidRPr="00812D8A">
        <w:rPr>
          <w:i/>
          <w:iCs/>
          <w:sz w:val="24"/>
          <w:szCs w:val="24"/>
          <w:vertAlign w:val="subscript"/>
        </w:rPr>
        <w:t>ατμ</w:t>
      </w:r>
      <w:proofErr w:type="spellEnd"/>
      <w:r w:rsidR="004B5237" w:rsidRPr="00812D8A">
        <w:rPr>
          <w:i/>
          <w:iCs/>
          <w:sz w:val="24"/>
          <w:szCs w:val="24"/>
        </w:rPr>
        <w:t xml:space="preserve">+ </w:t>
      </w:r>
      <w:proofErr w:type="spellStart"/>
      <w:r w:rsidR="004B5237" w:rsidRPr="00812D8A">
        <w:rPr>
          <w:i/>
          <w:iCs/>
          <w:sz w:val="24"/>
          <w:szCs w:val="24"/>
        </w:rPr>
        <w:t>ρgy</w:t>
      </w:r>
      <w:proofErr w:type="spellEnd"/>
      <w:r w:rsidR="004B5237" w:rsidRPr="00812D8A">
        <w:rPr>
          <w:i/>
          <w:iCs/>
          <w:sz w:val="24"/>
          <w:szCs w:val="24"/>
        </w:rPr>
        <w:t xml:space="preserve"> &gt; </w:t>
      </w:r>
      <w:proofErr w:type="spellStart"/>
      <w:r w:rsidR="004B5237" w:rsidRPr="00812D8A">
        <w:rPr>
          <w:i/>
          <w:iCs/>
          <w:sz w:val="24"/>
          <w:szCs w:val="24"/>
        </w:rPr>
        <w:t>p</w:t>
      </w:r>
      <w:r w:rsidR="004B5237" w:rsidRPr="00812D8A">
        <w:rPr>
          <w:i/>
          <w:iCs/>
          <w:sz w:val="24"/>
          <w:szCs w:val="24"/>
          <w:vertAlign w:val="subscript"/>
        </w:rPr>
        <w:t>ατμ</w:t>
      </w:r>
      <w:proofErr w:type="spellEnd"/>
      <w:r w:rsidR="004B5237" w:rsidRPr="00812D8A">
        <w:rPr>
          <w:i/>
          <w:iCs/>
          <w:sz w:val="24"/>
          <w:szCs w:val="24"/>
        </w:rPr>
        <w:t>.</w:t>
      </w:r>
    </w:p>
    <w:p w:rsidR="004B5237" w:rsidRPr="004B5237" w:rsidRDefault="004B5237" w:rsidP="004B5237">
      <w:pPr>
        <w:ind w:left="340"/>
      </w:pPr>
      <w:r>
        <w:t>Σωστό το γ)</w:t>
      </w:r>
    </w:p>
    <w:p w:rsidR="00B820C2" w:rsidRDefault="005739DB" w:rsidP="005739DB">
      <w:pPr>
        <w:pStyle w:val="1"/>
      </w:pPr>
      <w:r>
        <w:t xml:space="preserve"> Στο διπλανό σχήμα έχει σχεδιαστεί μια ρευματική γραμμή από το σημείο Α της επιφάνειας στην έξοδο, όπου το νερό εκρέει με ταχύτητα υ. Από την εξίσωση του </w:t>
      </w:r>
      <w:r>
        <w:rPr>
          <w:lang w:val="en-US"/>
        </w:rPr>
        <w:t>Bernoulli</w:t>
      </w:r>
      <w:r w:rsidRPr="005739DB">
        <w:t xml:space="preserve"> </w:t>
      </w:r>
      <w:r w:rsidR="0041120E">
        <w:t xml:space="preserve">για τα σημεία Α και Ο, </w:t>
      </w:r>
      <w:r>
        <w:t>παίρνουμε:</w:t>
      </w:r>
    </w:p>
    <w:p w:rsidR="005739DB" w:rsidRPr="00515031" w:rsidRDefault="0041120E" w:rsidP="005739DB">
      <w:pPr>
        <w:rPr>
          <w:i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ρ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υ</m:t>
              </m:r>
            </m:e>
            <m:sub>
              <m:r>
                <w:rPr>
                  <w:rFonts w:ascii="Cambria Math" w:hAnsi="Cambria Math"/>
                </w:rPr>
                <m:t>Α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+ρ</m:t>
          </m:r>
          <m:r>
            <w:rPr>
              <w:rFonts w:ascii="Cambria Math" w:hAnsi="Cambria Math"/>
              <w:lang w:val="en-US"/>
            </w:rPr>
            <m:t>gh=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Ο</m:t>
              </m:r>
            </m:sub>
          </m:sSub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ρ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υ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515031" w:rsidRDefault="00515031" w:rsidP="00BA4806">
      <w:pPr>
        <w:ind w:left="426"/>
      </w:pPr>
      <w:r>
        <w:t xml:space="preserve">Αλλά αν το εμβαδόν της επιφάνειας είναι πολύ μεγαλύτερο από το αντίστοιχο εμβαδόν της οπής, η ταχύτητα </w:t>
      </w:r>
      <w:proofErr w:type="spellStart"/>
      <w:r>
        <w:t>υ</w:t>
      </w:r>
      <w:r>
        <w:rPr>
          <w:vertAlign w:val="subscript"/>
        </w:rPr>
        <w:t>Α</w:t>
      </w:r>
      <w:proofErr w:type="spellEnd"/>
      <w:r>
        <w:t xml:space="preserve"> είναι σχεδόν μηδενική και η παραπάνω σχέση γίνεται:</w:t>
      </w:r>
    </w:p>
    <w:p w:rsidR="00515031" w:rsidRPr="00515031" w:rsidRDefault="00515031" w:rsidP="00515031"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+ρ</m:t>
          </m:r>
          <m:r>
            <w:rPr>
              <w:rFonts w:ascii="Cambria Math" w:hAnsi="Cambria Math"/>
              <w:lang w:val="en-US"/>
            </w:rPr>
            <m:t>gh=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ατμ</m:t>
              </m:r>
            </m:sub>
          </m:sSub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ρ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υ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→</m:t>
          </m:r>
        </m:oMath>
      </m:oMathPara>
    </w:p>
    <w:p w:rsidR="00515031" w:rsidRPr="00CF7E4B" w:rsidRDefault="00515031" w:rsidP="00515031">
      <m:oMathPara>
        <m:oMath>
          <m:r>
            <w:rPr>
              <w:rFonts w:ascii="Cambria Math" w:hAnsi="Cambria Math"/>
            </w:rPr>
            <w:lastRenderedPageBreak/>
            <m:t>υ=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ατμ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ρ</m:t>
                  </m:r>
                </m:den>
              </m:f>
              <m:r>
                <w:rPr>
                  <w:rFonts w:ascii="Cambria Math" w:hAnsi="Cambria Math"/>
                </w:rPr>
                <m:t>+2</m:t>
              </m:r>
              <m:r>
                <w:rPr>
                  <w:rFonts w:ascii="Cambria Math" w:hAnsi="Cambria Math"/>
                  <w:lang w:val="en-US"/>
                </w:rPr>
                <m:t>gh</m:t>
              </m:r>
            </m:e>
          </m:rad>
        </m:oMath>
      </m:oMathPara>
    </w:p>
    <w:p w:rsidR="00CF7E4B" w:rsidRDefault="00CF7E4B" w:rsidP="00BA4806">
      <w:pPr>
        <w:tabs>
          <w:tab w:val="clear" w:pos="340"/>
        </w:tabs>
        <w:ind w:left="426"/>
      </w:pPr>
      <w:r>
        <w:t>Αλλά p</w:t>
      </w:r>
      <w:r>
        <w:rPr>
          <w:vertAlign w:val="subscript"/>
        </w:rPr>
        <w:t>1</w:t>
      </w:r>
      <w:r>
        <w:t xml:space="preserve"> &gt; </w:t>
      </w:r>
      <w:proofErr w:type="spellStart"/>
      <w:r>
        <w:t>p</w:t>
      </w:r>
      <w:r>
        <w:rPr>
          <w:vertAlign w:val="subscript"/>
        </w:rPr>
        <w:t>ατμ</w:t>
      </w:r>
      <w:proofErr w:type="spellEnd"/>
      <w:r>
        <w:t>, οπότε από την παραπάνω εξίσωση προκύπτει:</w:t>
      </w:r>
    </w:p>
    <w:p w:rsidR="00CF7E4B" w:rsidRPr="00CF7E4B" w:rsidRDefault="00CF7E4B" w:rsidP="00CF7E4B">
      <m:oMathPara>
        <m:oMath>
          <m:r>
            <w:rPr>
              <w:rFonts w:ascii="Cambria Math" w:hAnsi="Cambria Math"/>
            </w:rPr>
            <m:t>υ=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ατμ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ρ</m:t>
                  </m:r>
                </m:den>
              </m:f>
              <m:r>
                <w:rPr>
                  <w:rFonts w:ascii="Cambria Math" w:hAnsi="Cambria Math"/>
                </w:rPr>
                <m:t>+2</m:t>
              </m:r>
              <m:r>
                <w:rPr>
                  <w:rFonts w:ascii="Cambria Math" w:hAnsi="Cambria Math"/>
                  <w:lang w:val="en-US"/>
                </w:rPr>
                <m:t>gh</m:t>
              </m:r>
            </m:e>
          </m:rad>
          <m:r>
            <w:rPr>
              <w:rFonts w:ascii="Cambria Math" w:hAnsi="Cambria Math"/>
            </w:rPr>
            <m:t xml:space="preserve">&gt; 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  <w:lang w:val="en-US"/>
                </w:rPr>
                <m:t>gh</m:t>
              </m:r>
            </m:e>
          </m:rad>
          <m:r>
            <w:rPr>
              <w:rFonts w:ascii="Cambria Math" w:hAnsi="Cambria Math"/>
            </w:rPr>
            <m:t xml:space="preserve"> </m:t>
          </m:r>
        </m:oMath>
      </m:oMathPara>
    </w:p>
    <w:p w:rsidR="00CF7E4B" w:rsidRPr="00CF7E4B" w:rsidRDefault="00CF7E4B" w:rsidP="00BA4806">
      <w:pPr>
        <w:tabs>
          <w:tab w:val="clear" w:pos="340"/>
        </w:tabs>
        <w:ind w:left="426"/>
      </w:pPr>
      <w:r>
        <w:t xml:space="preserve">Σωστή η </w:t>
      </w:r>
      <w:r w:rsidR="00BA4806">
        <w:t>πρόταση δ).</w:t>
      </w:r>
    </w:p>
    <w:p w:rsidR="00515031" w:rsidRPr="00515031" w:rsidRDefault="00BA4806" w:rsidP="00BA4806">
      <w:pPr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sectPr w:rsidR="00515031" w:rsidRPr="00515031" w:rsidSect="00465D8E">
      <w:headerReference w:type="default" r:id="rId14"/>
      <w:footerReference w:type="default" r:id="rId15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9D0" w:rsidRDefault="000029D0">
      <w:pPr>
        <w:spacing w:after="0" w:line="240" w:lineRule="auto"/>
      </w:pPr>
      <w:r>
        <w:separator/>
      </w:r>
    </w:p>
  </w:endnote>
  <w:endnote w:type="continuationSeparator" w:id="0">
    <w:p w:rsidR="000029D0" w:rsidRDefault="00002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9D0" w:rsidRDefault="000029D0">
      <w:pPr>
        <w:spacing w:after="0" w:line="240" w:lineRule="auto"/>
      </w:pPr>
      <w:r>
        <w:separator/>
      </w:r>
    </w:p>
  </w:footnote>
  <w:footnote w:type="continuationSeparator" w:id="0">
    <w:p w:rsidR="000029D0" w:rsidRDefault="00002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A73311">
      <w:rPr>
        <w:i/>
      </w:rPr>
      <w:t>Ρευστά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FE440AC4"/>
    <w:lvl w:ilvl="0" w:tplc="9B1612B2">
      <w:start w:val="1"/>
      <w:numFmt w:val="decimal"/>
      <w:pStyle w:val="a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311"/>
    <w:rsid w:val="000029D0"/>
    <w:rsid w:val="000923E4"/>
    <w:rsid w:val="000A5A2D"/>
    <w:rsid w:val="000C34FC"/>
    <w:rsid w:val="0012482A"/>
    <w:rsid w:val="001764F7"/>
    <w:rsid w:val="00176D96"/>
    <w:rsid w:val="00190EB7"/>
    <w:rsid w:val="00303DDE"/>
    <w:rsid w:val="00334BD8"/>
    <w:rsid w:val="00342B66"/>
    <w:rsid w:val="00386A21"/>
    <w:rsid w:val="003B4900"/>
    <w:rsid w:val="003D2058"/>
    <w:rsid w:val="003D5E6E"/>
    <w:rsid w:val="0041120E"/>
    <w:rsid w:val="0041752B"/>
    <w:rsid w:val="004331AB"/>
    <w:rsid w:val="0044454D"/>
    <w:rsid w:val="00465D8E"/>
    <w:rsid w:val="004B5237"/>
    <w:rsid w:val="004C0F3D"/>
    <w:rsid w:val="004F7518"/>
    <w:rsid w:val="00515031"/>
    <w:rsid w:val="00572886"/>
    <w:rsid w:val="005739DB"/>
    <w:rsid w:val="005C059F"/>
    <w:rsid w:val="005C20F7"/>
    <w:rsid w:val="00667E23"/>
    <w:rsid w:val="00717932"/>
    <w:rsid w:val="007E115B"/>
    <w:rsid w:val="00812D8A"/>
    <w:rsid w:val="0081576D"/>
    <w:rsid w:val="008945AD"/>
    <w:rsid w:val="008A1609"/>
    <w:rsid w:val="008D1A08"/>
    <w:rsid w:val="009A1C4D"/>
    <w:rsid w:val="00A73311"/>
    <w:rsid w:val="00AC5AC3"/>
    <w:rsid w:val="00B11C3D"/>
    <w:rsid w:val="00B64B6F"/>
    <w:rsid w:val="00B64B79"/>
    <w:rsid w:val="00B820C2"/>
    <w:rsid w:val="00BA4806"/>
    <w:rsid w:val="00BC33F6"/>
    <w:rsid w:val="00C0699A"/>
    <w:rsid w:val="00C41378"/>
    <w:rsid w:val="00C70080"/>
    <w:rsid w:val="00CA7A43"/>
    <w:rsid w:val="00CE0879"/>
    <w:rsid w:val="00CF7E4B"/>
    <w:rsid w:val="00D045EF"/>
    <w:rsid w:val="00D23979"/>
    <w:rsid w:val="00D25F0F"/>
    <w:rsid w:val="00D615E8"/>
    <w:rsid w:val="00D82210"/>
    <w:rsid w:val="00DB7799"/>
    <w:rsid w:val="00DE49E1"/>
    <w:rsid w:val="00E31481"/>
    <w:rsid w:val="00E668E3"/>
    <w:rsid w:val="00EA64C4"/>
    <w:rsid w:val="00EB2362"/>
    <w:rsid w:val="00EB6640"/>
    <w:rsid w:val="00EC647B"/>
    <w:rsid w:val="00EE7957"/>
    <w:rsid w:val="00F6515A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AEFE5D5"/>
  <w15:chartTrackingRefBased/>
  <w15:docId w15:val="{AD438487-8F37-40B2-BF31-DF25FAB5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rsid w:val="00CF7E4B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B64B6F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41752B"/>
    <w:pPr>
      <w:numPr>
        <w:numId w:val="6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  <w:style w:type="character" w:styleId="a7">
    <w:name w:val="Placeholder Text"/>
    <w:basedOn w:val="a1"/>
    <w:uiPriority w:val="99"/>
    <w:semiHidden/>
    <w:rsid w:val="005150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EFE2F-AC62-42B0-9143-2C145BE85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10</cp:revision>
  <dcterms:created xsi:type="dcterms:W3CDTF">2020-01-21T17:43:00Z</dcterms:created>
  <dcterms:modified xsi:type="dcterms:W3CDTF">2020-01-21T20:03:00Z</dcterms:modified>
</cp:coreProperties>
</file>