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3"/>
      </w:tblGrid>
      <w:tr w:rsidR="008945AD" w:rsidTr="00465D8E">
        <w:trPr>
          <w:trHeight w:val="648"/>
          <w:jc w:val="center"/>
        </w:trPr>
        <w:tc>
          <w:tcPr>
            <w:tcW w:w="5973" w:type="dxa"/>
            <w:tcBorders>
              <w:top w:val="nil"/>
              <w:left w:val="nil"/>
              <w:bottom w:val="nil"/>
              <w:right w:val="nil"/>
            </w:tcBorders>
            <w:shd w:val="clear" w:color="auto" w:fill="0070C0"/>
            <w:vAlign w:val="center"/>
          </w:tcPr>
          <w:p w:rsidR="008945AD" w:rsidRPr="00E214EB" w:rsidRDefault="00E214EB" w:rsidP="00465D8E">
            <w:pPr>
              <w:pStyle w:val="10"/>
            </w:pPr>
            <w:r>
              <w:t>Δύο υγρά που δεν αναμιγνύονται</w:t>
            </w:r>
          </w:p>
        </w:tc>
      </w:tr>
    </w:tbl>
    <w:p w:rsidR="00C25CE8" w:rsidRDefault="00365678" w:rsidP="008945AD">
      <w:pPr>
        <w:spacing w:before="200"/>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4.05pt;margin-top:51.85pt;width:187.95pt;height:171.6pt;z-index:251659264;mso-position-horizontal-relative:margin;mso-position-vertical-relative:margin" filled="t" fillcolor="#c5e0b3 [1305]">
            <v:imagedata r:id="rId8" o:title=""/>
            <w10:wrap type="square" anchorx="margin" anchory="margin"/>
          </v:shape>
          <o:OLEObject Type="Embed" ProgID="Visio.Drawing.11" ShapeID="_x0000_s1026" DrawAspect="Content" ObjectID="_1640497094" r:id="rId9"/>
        </w:object>
      </w:r>
      <w:r w:rsidR="00E214EB">
        <w:t>Σε ένα ανοικτό κυλινδρικό δοχείο περιέχονται δύο υγρά Α και Β, τα οποία δεν αναμιγνύονται</w:t>
      </w:r>
      <w:r w:rsidR="0059732B">
        <w:t>,</w:t>
      </w:r>
      <w:r w:rsidR="00E214EB">
        <w:t xml:space="preserve"> με πυκνότητες ρ</w:t>
      </w:r>
      <w:r w:rsidR="00E214EB">
        <w:rPr>
          <w:vertAlign w:val="subscript"/>
        </w:rPr>
        <w:t>1</w:t>
      </w:r>
      <w:r w:rsidR="00E214EB">
        <w:t xml:space="preserve"> και ρ</w:t>
      </w:r>
      <w:r w:rsidR="00E214EB">
        <w:rPr>
          <w:vertAlign w:val="subscript"/>
        </w:rPr>
        <w:t>2</w:t>
      </w:r>
      <w:r w:rsidR="00E214EB">
        <w:t xml:space="preserve"> αντίστοιχα, όπου ρ</w:t>
      </w:r>
      <w:r w:rsidR="00E214EB">
        <w:rPr>
          <w:vertAlign w:val="subscript"/>
        </w:rPr>
        <w:t>1</w:t>
      </w:r>
      <w:r w:rsidR="00E214EB">
        <w:t>&gt;ρ</w:t>
      </w:r>
      <w:r w:rsidR="00E214EB">
        <w:rPr>
          <w:vertAlign w:val="subscript"/>
        </w:rPr>
        <w:t>2</w:t>
      </w:r>
      <w:r w:rsidR="00E214EB">
        <w:t>. Στο σχήμα βλέπετε τα ύψη y</w:t>
      </w:r>
      <w:r w:rsidR="00E214EB">
        <w:rPr>
          <w:vertAlign w:val="subscript"/>
        </w:rPr>
        <w:t>1</w:t>
      </w:r>
      <w:r w:rsidR="00E214EB">
        <w:t xml:space="preserve"> και y</w:t>
      </w:r>
      <w:r w:rsidR="00E214EB">
        <w:rPr>
          <w:vertAlign w:val="subscript"/>
        </w:rPr>
        <w:t>2</w:t>
      </w:r>
      <w:r w:rsidR="00E214EB">
        <w:t xml:space="preserve"> των δύο υγρών</w:t>
      </w:r>
      <w:r w:rsidR="0059732B">
        <w:t xml:space="preserve"> στο δοχείο. </w:t>
      </w:r>
    </w:p>
    <w:p w:rsidR="00E214EB" w:rsidRDefault="00C25CE8" w:rsidP="00E87653">
      <w:pPr>
        <w:ind w:left="453" w:hanging="340"/>
      </w:pPr>
      <w:r>
        <w:t xml:space="preserve">i) </w:t>
      </w:r>
      <w:r w:rsidR="00E87653">
        <w:t xml:space="preserve"> </w:t>
      </w:r>
      <w:r w:rsidR="0059732B">
        <w:t xml:space="preserve">Για το ύψος </w:t>
      </w:r>
      <w:r w:rsidR="00E214EB">
        <w:t>h το</w:t>
      </w:r>
      <w:bookmarkStart w:id="0" w:name="_GoBack"/>
      <w:bookmarkEnd w:id="0"/>
      <w:r w:rsidR="00E214EB">
        <w:t>υ υγρού Α στον λεπτό ανοικτό κατακόρυφο σωλήνα</w:t>
      </w:r>
      <w:r w:rsidR="004C557D">
        <w:t xml:space="preserve"> (το </w:t>
      </w:r>
      <w:proofErr w:type="spellStart"/>
      <w:r w:rsidR="004C557D">
        <w:t>πέτασμα</w:t>
      </w:r>
      <w:proofErr w:type="spellEnd"/>
      <w:r w:rsidR="004C557D">
        <w:t xml:space="preserve"> μας κρύβει το ύψος)</w:t>
      </w:r>
      <w:r w:rsidR="0059732B">
        <w:t xml:space="preserve"> ισχύει:</w:t>
      </w:r>
    </w:p>
    <w:p w:rsidR="0059732B" w:rsidRDefault="00966E2A" w:rsidP="00E87653">
      <w:pPr>
        <w:ind w:left="453" w:hanging="340"/>
        <w:jc w:val="center"/>
      </w:pPr>
      <w:r>
        <w:t>α</w:t>
      </w:r>
      <w:r w:rsidR="0059732B">
        <w:t>) h&lt;y</w:t>
      </w:r>
      <w:r w:rsidR="0059732B">
        <w:rPr>
          <w:vertAlign w:val="subscript"/>
        </w:rPr>
        <w:t>1</w:t>
      </w:r>
      <w:r w:rsidR="0059732B">
        <w:t>,   β) h=y</w:t>
      </w:r>
      <w:r w:rsidR="0059732B">
        <w:rPr>
          <w:vertAlign w:val="subscript"/>
        </w:rPr>
        <w:t>1</w:t>
      </w:r>
      <w:r w:rsidR="0059732B">
        <w:t>,   γ)</w:t>
      </w:r>
      <w:r w:rsidR="0037681E">
        <w:t xml:space="preserve"> y</w:t>
      </w:r>
      <w:r w:rsidR="0037681E">
        <w:rPr>
          <w:vertAlign w:val="subscript"/>
        </w:rPr>
        <w:t>1</w:t>
      </w:r>
      <w:r w:rsidR="0037681E">
        <w:t xml:space="preserve"> &lt; </w:t>
      </w:r>
      <w:r w:rsidR="0059732B">
        <w:t>h</w:t>
      </w:r>
      <w:r w:rsidR="00E87653">
        <w:t xml:space="preserve"> </w:t>
      </w:r>
      <w:r w:rsidR="0059732B">
        <w:t>&lt;y</w:t>
      </w:r>
      <w:r w:rsidR="0059732B">
        <w:rPr>
          <w:vertAlign w:val="subscript"/>
        </w:rPr>
        <w:t>1</w:t>
      </w:r>
      <w:r w:rsidR="0059732B">
        <w:t>+y</w:t>
      </w:r>
      <w:r w:rsidR="0059732B">
        <w:rPr>
          <w:vertAlign w:val="subscript"/>
        </w:rPr>
        <w:t>2</w:t>
      </w:r>
      <w:r w:rsidR="0059732B">
        <w:t>,   δ) h=y</w:t>
      </w:r>
      <w:r w:rsidR="0059732B">
        <w:rPr>
          <w:vertAlign w:val="subscript"/>
        </w:rPr>
        <w:t>1</w:t>
      </w:r>
      <w:r w:rsidR="0059732B">
        <w:t>+y</w:t>
      </w:r>
      <w:r w:rsidR="0059732B">
        <w:rPr>
          <w:vertAlign w:val="subscript"/>
        </w:rPr>
        <w:t>2</w:t>
      </w:r>
      <w:r w:rsidR="00CE5F96">
        <w:t>.</w:t>
      </w:r>
    </w:p>
    <w:p w:rsidR="003D3986" w:rsidRDefault="00E87653" w:rsidP="00E87653">
      <w:pPr>
        <w:ind w:left="453" w:hanging="340"/>
      </w:pPr>
      <w:proofErr w:type="spellStart"/>
      <w:r>
        <w:t>ii</w:t>
      </w:r>
      <w:proofErr w:type="spellEnd"/>
      <w:r>
        <w:t xml:space="preserve">) </w:t>
      </w:r>
      <w:r w:rsidR="00C25CE8">
        <w:t>Τοποθετούμε στην ελεύθερη επιφάνεια του υγρού Β, ένα έμβολο το οποίο μπορεί να κινείται χωρίς τριβές,</w:t>
      </w:r>
      <w:r w:rsidR="003D3986">
        <w:t xml:space="preserve"> με βάρος w=w</w:t>
      </w:r>
      <w:r w:rsidR="003D3986">
        <w:rPr>
          <w:vertAlign w:val="subscript"/>
        </w:rPr>
        <w:t>1</w:t>
      </w:r>
      <w:r w:rsidR="003D3986">
        <w:t>-w</w:t>
      </w:r>
      <w:r w:rsidR="003D3986">
        <w:rPr>
          <w:vertAlign w:val="subscript"/>
        </w:rPr>
        <w:t>2</w:t>
      </w:r>
      <w:r w:rsidR="003D3986">
        <w:t>, όπου w</w:t>
      </w:r>
      <w:r w:rsidR="003D3986">
        <w:rPr>
          <w:vertAlign w:val="subscript"/>
        </w:rPr>
        <w:t>1</w:t>
      </w:r>
      <w:r w:rsidR="003D3986">
        <w:t xml:space="preserve"> το βάρος του υγρού Α και w</w:t>
      </w:r>
      <w:r w:rsidR="003D3986">
        <w:rPr>
          <w:vertAlign w:val="subscript"/>
        </w:rPr>
        <w:t>2</w:t>
      </w:r>
      <w:r w:rsidR="003D3986">
        <w:t xml:space="preserve"> το βάρος του Β. Τότε το ύψος του υγρού στον σωλήνα γίνεται:</w:t>
      </w:r>
    </w:p>
    <w:p w:rsidR="003D3986" w:rsidRDefault="0079641C" w:rsidP="0079641C">
      <w:pPr>
        <w:jc w:val="center"/>
      </w:pPr>
      <w:r>
        <w:t>α</w:t>
      </w:r>
      <w:r w:rsidR="003D3986">
        <w:t>) h= 2y</w:t>
      </w:r>
      <w:r w:rsidR="003D3986">
        <w:rPr>
          <w:vertAlign w:val="subscript"/>
        </w:rPr>
        <w:t>1</w:t>
      </w:r>
      <w:r w:rsidR="003D3986">
        <w:t>,  β) h=2y</w:t>
      </w:r>
      <w:r w:rsidR="003D3986">
        <w:rPr>
          <w:vertAlign w:val="subscript"/>
        </w:rPr>
        <w:t>2</w:t>
      </w:r>
      <w:r w:rsidR="003D3986">
        <w:t>,  γ) h=y</w:t>
      </w:r>
      <w:r w:rsidR="003D3986">
        <w:rPr>
          <w:vertAlign w:val="subscript"/>
        </w:rPr>
        <w:t>1</w:t>
      </w:r>
      <w:r w:rsidR="003D3986">
        <w:t>+y</w:t>
      </w:r>
      <w:r w:rsidR="003D3986">
        <w:rPr>
          <w:vertAlign w:val="subscript"/>
        </w:rPr>
        <w:t>2</w:t>
      </w:r>
      <w:r w:rsidR="003D3986">
        <w:t>,  γ)  h=2y</w:t>
      </w:r>
      <w:r w:rsidR="003D3986">
        <w:rPr>
          <w:vertAlign w:val="subscript"/>
        </w:rPr>
        <w:t>1</w:t>
      </w:r>
      <w:r w:rsidR="003D3986">
        <w:t>-y</w:t>
      </w:r>
      <w:r w:rsidR="003D3986">
        <w:rPr>
          <w:vertAlign w:val="subscript"/>
        </w:rPr>
        <w:t>2</w:t>
      </w:r>
      <w:r w:rsidR="003D3986">
        <w:t>.</w:t>
      </w:r>
    </w:p>
    <w:p w:rsidR="00916C83" w:rsidRPr="00916C83" w:rsidRDefault="0079641C" w:rsidP="00C25CE8">
      <w:r>
        <w:t xml:space="preserve">Δίνεται ότι η μετακίνηση του υγρού στον λεπτό σωλήνα δεν μεταβάλλει τα ύψη των υγρών στο δοχείο. </w:t>
      </w:r>
    </w:p>
    <w:p w:rsidR="00B820C2" w:rsidRDefault="00966E2A">
      <w:r>
        <w:t>Να δικαιολογήσετε την επιλογή σας.</w:t>
      </w:r>
    </w:p>
    <w:p w:rsidR="00966E2A" w:rsidRPr="0082465E" w:rsidRDefault="00365678">
      <w:pPr>
        <w:rPr>
          <w:b/>
          <w:i/>
          <w:color w:val="0070C0"/>
          <w:sz w:val="24"/>
          <w:szCs w:val="24"/>
        </w:rPr>
      </w:pPr>
      <w:r>
        <w:rPr>
          <w:noProof/>
        </w:rPr>
        <w:object w:dxaOrig="1440" w:dyaOrig="1440">
          <v:shape id="_x0000_s1027" type="#_x0000_t75" style="position:absolute;left:0;text-align:left;margin-left:295.65pt;margin-top:356.65pt;width:188pt;height:171.6pt;z-index:251661312;mso-position-horizontal-relative:margin;mso-position-vertical-relative:margin" filled="t" fillcolor="#c5e0b3 [1305]">
            <v:imagedata r:id="rId10" o:title=""/>
            <w10:wrap type="square" anchorx="margin" anchory="margin"/>
          </v:shape>
          <o:OLEObject Type="Embed" ProgID="Visio.Drawing.11" ShapeID="_x0000_s1027" DrawAspect="Content" ObjectID="_1640497095" r:id="rId11"/>
        </w:object>
      </w:r>
      <w:r w:rsidR="00966E2A" w:rsidRPr="0082465E">
        <w:rPr>
          <w:b/>
          <w:i/>
          <w:color w:val="0070C0"/>
          <w:sz w:val="24"/>
          <w:szCs w:val="24"/>
        </w:rPr>
        <w:t>Απάντηση:</w:t>
      </w:r>
    </w:p>
    <w:p w:rsidR="00551E32" w:rsidRDefault="0037681E" w:rsidP="001D7C2E">
      <w:pPr>
        <w:pStyle w:val="1"/>
      </w:pPr>
      <w:r>
        <w:t xml:space="preserve"> </w:t>
      </w:r>
      <w:r w:rsidR="00551E32">
        <w:t xml:space="preserve">Έστω δύο σημεία Γ και Δ, πολύ κοντά στη βάση του δοχείου, το Γ στη μέση του δοχείου, το άλλο κάτω από το λεπτό σωλήνα, όπως στο σχήμα. Αφού τα δύο σημεία βρίσκονται στο ίδιο οριζόντιο επίπεδο  και μέσα στο ίδιο υγρό θα έχουν την ίδια πίεση. </w:t>
      </w:r>
    </w:p>
    <w:p w:rsidR="0037681E" w:rsidRDefault="0037681E" w:rsidP="001D7C2E">
      <w:pPr>
        <w:ind w:left="318"/>
      </w:pPr>
      <w:r>
        <w:t>Αλλά για τις πιέσεις αυτές ισχύει:</w:t>
      </w:r>
    </w:p>
    <w:p w:rsidR="0037681E" w:rsidRPr="00C65C13" w:rsidRDefault="0037681E" w:rsidP="00C65C13">
      <w:pPr>
        <w:jc w:val="center"/>
        <w:rPr>
          <w:i/>
          <w:sz w:val="24"/>
          <w:szCs w:val="24"/>
        </w:rPr>
      </w:pPr>
      <w:proofErr w:type="spellStart"/>
      <w:r w:rsidRPr="00C65C13">
        <w:rPr>
          <w:i/>
          <w:sz w:val="24"/>
          <w:szCs w:val="24"/>
        </w:rPr>
        <w:t>p</w:t>
      </w:r>
      <w:r w:rsidRPr="00C65C13">
        <w:rPr>
          <w:i/>
          <w:sz w:val="24"/>
          <w:szCs w:val="24"/>
          <w:vertAlign w:val="subscript"/>
        </w:rPr>
        <w:t>Γ</w:t>
      </w:r>
      <w:proofErr w:type="spellEnd"/>
      <w:r w:rsidRPr="00C65C13">
        <w:rPr>
          <w:i/>
          <w:sz w:val="24"/>
          <w:szCs w:val="24"/>
        </w:rPr>
        <w:t>=p</w:t>
      </w:r>
      <w:r w:rsidRPr="00C65C13">
        <w:rPr>
          <w:i/>
          <w:sz w:val="24"/>
          <w:szCs w:val="24"/>
          <w:vertAlign w:val="subscript"/>
        </w:rPr>
        <w:t>ατμ</w:t>
      </w:r>
      <w:r w:rsidRPr="00C65C13">
        <w:rPr>
          <w:i/>
          <w:sz w:val="24"/>
          <w:szCs w:val="24"/>
        </w:rPr>
        <w:t>+ρ</w:t>
      </w:r>
      <w:r w:rsidRPr="00C65C13">
        <w:rPr>
          <w:i/>
          <w:sz w:val="24"/>
          <w:szCs w:val="24"/>
          <w:vertAlign w:val="subscript"/>
        </w:rPr>
        <w:t>1</w:t>
      </w:r>
      <w:r w:rsidRPr="00C65C13">
        <w:rPr>
          <w:i/>
          <w:sz w:val="24"/>
          <w:szCs w:val="24"/>
        </w:rPr>
        <w:t>gy</w:t>
      </w:r>
      <w:r w:rsidRPr="00C65C13">
        <w:rPr>
          <w:i/>
          <w:sz w:val="24"/>
          <w:szCs w:val="24"/>
          <w:vertAlign w:val="subscript"/>
        </w:rPr>
        <w:t>1</w:t>
      </w:r>
      <w:r w:rsidRPr="00C65C13">
        <w:rPr>
          <w:i/>
          <w:sz w:val="24"/>
          <w:szCs w:val="24"/>
        </w:rPr>
        <w:t>+ρ</w:t>
      </w:r>
      <w:r w:rsidRPr="00C65C13">
        <w:rPr>
          <w:i/>
          <w:sz w:val="24"/>
          <w:szCs w:val="24"/>
          <w:vertAlign w:val="subscript"/>
        </w:rPr>
        <w:t>2</w:t>
      </w:r>
      <w:r w:rsidRPr="00C65C13">
        <w:rPr>
          <w:i/>
          <w:sz w:val="24"/>
          <w:szCs w:val="24"/>
        </w:rPr>
        <w:t>gy</w:t>
      </w:r>
      <w:r w:rsidRPr="00C65C13">
        <w:rPr>
          <w:i/>
          <w:sz w:val="24"/>
          <w:szCs w:val="24"/>
          <w:vertAlign w:val="subscript"/>
        </w:rPr>
        <w:t>2</w:t>
      </w:r>
      <w:r w:rsidRPr="00C65C13">
        <w:rPr>
          <w:i/>
          <w:sz w:val="24"/>
          <w:szCs w:val="24"/>
        </w:rPr>
        <w:t xml:space="preserve">  (1)</w:t>
      </w:r>
    </w:p>
    <w:p w:rsidR="0037681E" w:rsidRPr="00C65C13" w:rsidRDefault="0037681E" w:rsidP="00C65C13">
      <w:pPr>
        <w:jc w:val="center"/>
        <w:rPr>
          <w:i/>
          <w:sz w:val="24"/>
          <w:szCs w:val="24"/>
        </w:rPr>
      </w:pPr>
      <w:proofErr w:type="spellStart"/>
      <w:r w:rsidRPr="00C65C13">
        <w:rPr>
          <w:i/>
          <w:sz w:val="24"/>
          <w:szCs w:val="24"/>
        </w:rPr>
        <w:t>p</w:t>
      </w:r>
      <w:r w:rsidRPr="00C65C13">
        <w:rPr>
          <w:i/>
          <w:sz w:val="24"/>
          <w:szCs w:val="24"/>
          <w:vertAlign w:val="subscript"/>
        </w:rPr>
        <w:t>Δ</w:t>
      </w:r>
      <w:proofErr w:type="spellEnd"/>
      <w:r w:rsidRPr="00C65C13">
        <w:rPr>
          <w:i/>
          <w:sz w:val="24"/>
          <w:szCs w:val="24"/>
        </w:rPr>
        <w:t>=</w:t>
      </w:r>
      <w:proofErr w:type="spellStart"/>
      <w:r w:rsidRPr="00C65C13">
        <w:rPr>
          <w:i/>
          <w:sz w:val="24"/>
          <w:szCs w:val="24"/>
        </w:rPr>
        <w:t>p</w:t>
      </w:r>
      <w:r w:rsidRPr="00C65C13">
        <w:rPr>
          <w:i/>
          <w:sz w:val="24"/>
          <w:szCs w:val="24"/>
          <w:vertAlign w:val="subscript"/>
        </w:rPr>
        <w:t>ατμ</w:t>
      </w:r>
      <w:proofErr w:type="spellEnd"/>
      <w:r w:rsidRPr="00C65C13">
        <w:rPr>
          <w:i/>
          <w:sz w:val="24"/>
          <w:szCs w:val="24"/>
        </w:rPr>
        <w:t>+ ρ</w:t>
      </w:r>
      <w:r w:rsidRPr="00C65C13">
        <w:rPr>
          <w:i/>
          <w:sz w:val="24"/>
          <w:szCs w:val="24"/>
          <w:vertAlign w:val="subscript"/>
        </w:rPr>
        <w:t>1</w:t>
      </w:r>
      <w:r w:rsidRPr="00C65C13">
        <w:rPr>
          <w:i/>
          <w:sz w:val="24"/>
          <w:szCs w:val="24"/>
        </w:rPr>
        <w:t>gh  (2)</w:t>
      </w:r>
    </w:p>
    <w:p w:rsidR="0037681E" w:rsidRDefault="00C65C13" w:rsidP="001D7C2E">
      <w:pPr>
        <w:ind w:left="340"/>
      </w:pPr>
      <w:r>
        <w:t>Από τις παραπάνω σχέσεις παίρνουμε:</w:t>
      </w:r>
    </w:p>
    <w:p w:rsidR="00C65C13" w:rsidRDefault="00C65C13" w:rsidP="00C65C13">
      <w:pPr>
        <w:jc w:val="center"/>
      </w:pPr>
      <w:r w:rsidRPr="00C65C13">
        <w:rPr>
          <w:i/>
          <w:sz w:val="24"/>
          <w:szCs w:val="24"/>
        </w:rPr>
        <w:t>ρ</w:t>
      </w:r>
      <w:r w:rsidRPr="00C65C13">
        <w:rPr>
          <w:i/>
          <w:sz w:val="24"/>
          <w:szCs w:val="24"/>
          <w:vertAlign w:val="subscript"/>
        </w:rPr>
        <w:t>1</w:t>
      </w:r>
      <w:r w:rsidRPr="00C65C13">
        <w:rPr>
          <w:i/>
          <w:sz w:val="24"/>
          <w:szCs w:val="24"/>
        </w:rPr>
        <w:t>gh= ρ</w:t>
      </w:r>
      <w:r w:rsidRPr="00C65C13">
        <w:rPr>
          <w:i/>
          <w:sz w:val="24"/>
          <w:szCs w:val="24"/>
          <w:vertAlign w:val="subscript"/>
        </w:rPr>
        <w:t>1</w:t>
      </w:r>
      <w:r w:rsidRPr="00C65C13">
        <w:rPr>
          <w:i/>
          <w:sz w:val="24"/>
          <w:szCs w:val="24"/>
        </w:rPr>
        <w:t>gy</w:t>
      </w:r>
      <w:r w:rsidRPr="00C65C13">
        <w:rPr>
          <w:i/>
          <w:sz w:val="24"/>
          <w:szCs w:val="24"/>
          <w:vertAlign w:val="subscript"/>
        </w:rPr>
        <w:t>1</w:t>
      </w:r>
      <w:r w:rsidRPr="00C65C13">
        <w:rPr>
          <w:i/>
          <w:sz w:val="24"/>
          <w:szCs w:val="24"/>
        </w:rPr>
        <w:t>+ρ</w:t>
      </w:r>
      <w:r w:rsidRPr="00C65C13">
        <w:rPr>
          <w:i/>
          <w:sz w:val="24"/>
          <w:szCs w:val="24"/>
          <w:vertAlign w:val="subscript"/>
        </w:rPr>
        <w:t>2</w:t>
      </w:r>
      <w:r w:rsidRPr="00C65C13">
        <w:rPr>
          <w:i/>
          <w:sz w:val="24"/>
          <w:szCs w:val="24"/>
        </w:rPr>
        <w:t>gy</w:t>
      </w:r>
      <w:r w:rsidRPr="00C65C13">
        <w:rPr>
          <w:i/>
          <w:sz w:val="24"/>
          <w:szCs w:val="24"/>
          <w:vertAlign w:val="subscript"/>
        </w:rPr>
        <w:t>2</w:t>
      </w:r>
      <w:r>
        <w:t xml:space="preserve">  →</w:t>
      </w:r>
    </w:p>
    <w:p w:rsidR="00C65C13" w:rsidRPr="00C65C13" w:rsidRDefault="00C65C13" w:rsidP="00C65C13">
      <w:pPr>
        <w:jc w:val="center"/>
        <w:rPr>
          <w:i/>
          <w:lang w:val="en-US"/>
        </w:rPr>
      </w:pPr>
      <m:oMathPara>
        <m:oMath>
          <m:r>
            <w:rPr>
              <w:rFonts w:ascii="Cambria Math" w:hAnsi="Cambria Math"/>
              <w:lang w:val="en-US"/>
            </w:rPr>
            <m:t>h=</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1</m:t>
              </m:r>
            </m:sub>
          </m:sSub>
          <m:r>
            <w:rPr>
              <w:rFonts w:ascii="Cambria Math" w:hAnsi="Cambria Math"/>
              <w:lang w:val="en-US"/>
            </w:rPr>
            <m:t>+</m:t>
          </m:r>
          <m:f>
            <m:fPr>
              <m:ctrlPr>
                <w:rPr>
                  <w:rFonts w:ascii="Cambria Math" w:hAnsi="Cambria Math"/>
                </w:rPr>
              </m:ctrlPr>
            </m:fPr>
            <m:num>
              <m:sSub>
                <m:sSubPr>
                  <m:ctrlPr>
                    <w:rPr>
                      <w:rFonts w:ascii="Cambria Math" w:hAnsi="Cambria Math"/>
                      <w:i/>
                      <w:lang w:val="en-US"/>
                    </w:rPr>
                  </m:ctrlPr>
                </m:sSubPr>
                <m:e>
                  <m:r>
                    <w:rPr>
                      <w:rFonts w:ascii="Cambria Math" w:hAnsi="Cambria Math"/>
                    </w:rPr>
                    <m:t>ρ</m:t>
                  </m:r>
                </m:e>
                <m:sub>
                  <m:r>
                    <w:rPr>
                      <w:rFonts w:ascii="Cambria Math" w:hAnsi="Cambria Math"/>
                      <w:lang w:val="en-US"/>
                    </w:rPr>
                    <m:t>2</m:t>
                  </m:r>
                </m:sub>
              </m:sSub>
            </m:num>
            <m:den>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1</m:t>
                  </m:r>
                </m:sub>
              </m:sSub>
            </m:den>
          </m:f>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2</m:t>
              </m:r>
            </m:sub>
          </m:sSub>
          <m:r>
            <w:rPr>
              <w:rFonts w:ascii="Cambria Math" w:hAnsi="Cambria Math"/>
              <w:lang w:val="en-US"/>
            </w:rPr>
            <m:t xml:space="preserve"> (3)</m:t>
          </m:r>
        </m:oMath>
      </m:oMathPara>
    </w:p>
    <w:p w:rsidR="00C65C13" w:rsidRDefault="0082465E" w:rsidP="001D7C2E">
      <w:pPr>
        <w:ind w:left="340"/>
      </w:pPr>
      <w:r>
        <w:t>Η παραπάνω εξίσωση μας οδηγεί στο συμπέρασμα ότι h&gt;y</w:t>
      </w:r>
      <w:r>
        <w:rPr>
          <w:vertAlign w:val="subscript"/>
        </w:rPr>
        <w:t>1</w:t>
      </w:r>
      <w:r>
        <w:t>, ενώ αφού</w:t>
      </w:r>
      <w:r w:rsidR="00C65C13">
        <w:t xml:space="preserve"> ρ</w:t>
      </w:r>
      <w:r w:rsidR="00C65C13">
        <w:rPr>
          <w:vertAlign w:val="subscript"/>
        </w:rPr>
        <w:t>1</w:t>
      </w:r>
      <w:r w:rsidR="00C65C13">
        <w:t>&gt;ρ</w:t>
      </w:r>
      <w:r w:rsidR="00C65C13">
        <w:rPr>
          <w:vertAlign w:val="subscript"/>
        </w:rPr>
        <w:t>2</w:t>
      </w:r>
      <w:r w:rsidR="00C65C13">
        <w:t xml:space="preserve">, </w:t>
      </w:r>
      <w:r>
        <w:t>θα ισχύει</w:t>
      </w:r>
      <w:r w:rsidR="00C65C13">
        <w:t xml:space="preserve">  </w:t>
      </w:r>
      <m:oMath>
        <m:f>
          <m:fPr>
            <m:ctrlPr>
              <w:rPr>
                <w:rFonts w:ascii="Cambria Math" w:hAnsi="Cambria Math"/>
              </w:rPr>
            </m:ctrlPr>
          </m:fPr>
          <m:num>
            <m:sSub>
              <m:sSubPr>
                <m:ctrlPr>
                  <w:rPr>
                    <w:rFonts w:ascii="Cambria Math" w:hAnsi="Cambria Math"/>
                    <w:i/>
                    <w:lang w:val="en-US"/>
                  </w:rPr>
                </m:ctrlPr>
              </m:sSubPr>
              <m:e>
                <m:r>
                  <w:rPr>
                    <w:rFonts w:ascii="Cambria Math" w:hAnsi="Cambria Math"/>
                  </w:rPr>
                  <m:t>ρ</m:t>
                </m:r>
              </m:e>
              <m:sub>
                <m:r>
                  <w:rPr>
                    <w:rFonts w:ascii="Cambria Math" w:hAnsi="Cambria Math"/>
                  </w:rPr>
                  <m:t>2</m:t>
                </m:r>
              </m:sub>
            </m:sSub>
          </m:num>
          <m:den>
            <m:sSub>
              <m:sSubPr>
                <m:ctrlPr>
                  <w:rPr>
                    <w:rFonts w:ascii="Cambria Math" w:hAnsi="Cambria Math"/>
                    <w:i/>
                    <w:lang w:val="en-US"/>
                  </w:rPr>
                </m:ctrlPr>
              </m:sSubPr>
              <m:e>
                <m:r>
                  <w:rPr>
                    <w:rFonts w:ascii="Cambria Math" w:hAnsi="Cambria Math"/>
                    <w:lang w:val="en-US"/>
                  </w:rPr>
                  <m:t>ρ</m:t>
                </m:r>
              </m:e>
              <m:sub>
                <m:r>
                  <w:rPr>
                    <w:rFonts w:ascii="Cambria Math" w:hAnsi="Cambria Math"/>
                  </w:rPr>
                  <m:t>1</m:t>
                </m:r>
              </m:sub>
            </m:sSub>
          </m:den>
        </m:f>
        <m:r>
          <w:rPr>
            <w:rFonts w:ascii="Cambria Math" w:hAnsi="Cambria Math"/>
          </w:rPr>
          <m:t>&lt;1</m:t>
        </m:r>
      </m:oMath>
      <w:r w:rsidR="00C65C13">
        <w:t xml:space="preserve"> και η σχέση (3) μ</w:t>
      </w:r>
      <w:r>
        <w:t>ετατρέπεται</w:t>
      </w:r>
      <w:r w:rsidR="00C65C13">
        <w:t>:</w:t>
      </w:r>
    </w:p>
    <w:p w:rsidR="00C65C13" w:rsidRPr="0082465E" w:rsidRDefault="0082465E" w:rsidP="00551E32">
      <w:pPr>
        <w:rPr>
          <w:lang w:val="en-US"/>
        </w:rPr>
      </w:pPr>
      <m:oMathPara>
        <m:oMath>
          <m:r>
            <w:rPr>
              <w:rFonts w:ascii="Cambria Math" w:hAnsi="Cambria Math"/>
              <w:lang w:val="en-US"/>
            </w:rPr>
            <m:t>h=</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1</m:t>
              </m:r>
            </m:sub>
          </m:sSub>
          <m:r>
            <w:rPr>
              <w:rFonts w:ascii="Cambria Math" w:hAnsi="Cambria Math"/>
              <w:lang w:val="en-US"/>
            </w:rPr>
            <m:t>+</m:t>
          </m:r>
          <m:f>
            <m:fPr>
              <m:ctrlPr>
                <w:rPr>
                  <w:rFonts w:ascii="Cambria Math" w:hAnsi="Cambria Math"/>
                </w:rPr>
              </m:ctrlPr>
            </m:fPr>
            <m:num>
              <m:sSub>
                <m:sSubPr>
                  <m:ctrlPr>
                    <w:rPr>
                      <w:rFonts w:ascii="Cambria Math" w:hAnsi="Cambria Math"/>
                      <w:i/>
                      <w:lang w:val="en-US"/>
                    </w:rPr>
                  </m:ctrlPr>
                </m:sSubPr>
                <m:e>
                  <m:r>
                    <w:rPr>
                      <w:rFonts w:ascii="Cambria Math" w:hAnsi="Cambria Math"/>
                    </w:rPr>
                    <m:t>ρ</m:t>
                  </m:r>
                </m:e>
                <m:sub>
                  <m:r>
                    <w:rPr>
                      <w:rFonts w:ascii="Cambria Math" w:hAnsi="Cambria Math"/>
                      <w:lang w:val="en-US"/>
                    </w:rPr>
                    <m:t>2</m:t>
                  </m:r>
                </m:sub>
              </m:sSub>
            </m:num>
            <m:den>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1</m:t>
                  </m:r>
                </m:sub>
              </m:sSub>
            </m:den>
          </m:f>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2</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2</m:t>
              </m:r>
            </m:sub>
          </m:sSub>
        </m:oMath>
      </m:oMathPara>
    </w:p>
    <w:p w:rsidR="0082465E" w:rsidRDefault="0082465E" w:rsidP="001D7C2E">
      <w:pPr>
        <w:ind w:left="340"/>
      </w:pPr>
      <w:r>
        <w:t xml:space="preserve">Σωστή η σχέση γ), ενώ το σωστό σχήμα είναι όπως </w:t>
      </w:r>
      <w:r w:rsidR="00C25CE8">
        <w:t>φαίνεται στο</w:t>
      </w:r>
      <w:r>
        <w:t xml:space="preserve"> παραπάνω</w:t>
      </w:r>
      <w:r w:rsidR="00C25CE8">
        <w:t xml:space="preserve"> σχήμα</w:t>
      </w:r>
      <w:r>
        <w:t>.</w:t>
      </w:r>
    </w:p>
    <w:p w:rsidR="00E87653" w:rsidRDefault="001D7C2E" w:rsidP="00E87653">
      <w:pPr>
        <w:pStyle w:val="1"/>
      </w:pPr>
      <w:r w:rsidRPr="001D7C2E">
        <w:rPr>
          <w:noProof/>
        </w:rPr>
        <w:lastRenderedPageBreak/>
        <w:drawing>
          <wp:anchor distT="0" distB="0" distL="114300" distR="114300" simplePos="0" relativeHeight="251662336" behindDoc="0" locked="0" layoutInCell="1" allowOverlap="1">
            <wp:simplePos x="0" y="0"/>
            <wp:positionH relativeFrom="column">
              <wp:posOffset>3745230</wp:posOffset>
            </wp:positionH>
            <wp:positionV relativeFrom="paragraph">
              <wp:posOffset>10160</wp:posOffset>
            </wp:positionV>
            <wp:extent cx="2367280" cy="2626360"/>
            <wp:effectExtent l="0" t="0" r="0" b="254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7280" cy="2626360"/>
                    </a:xfrm>
                    <a:prstGeom prst="rect">
                      <a:avLst/>
                    </a:prstGeom>
                    <a:solidFill>
                      <a:schemeClr val="accent6">
                        <a:lumMod val="40000"/>
                        <a:lumOff val="60000"/>
                      </a:schemeClr>
                    </a:solidFill>
                    <a:ln>
                      <a:noFill/>
                    </a:ln>
                  </pic:spPr>
                </pic:pic>
              </a:graphicData>
            </a:graphic>
          </wp:anchor>
        </w:drawing>
      </w:r>
      <w:r>
        <w:t xml:space="preserve">Στο διπλανό σχήμα έχουν σημειωθεί οι δυνάμεις που ασκούνται στο έμβολο, όπου </w:t>
      </w:r>
      <w:proofErr w:type="spellStart"/>
      <w:r>
        <w:t>F</w:t>
      </w:r>
      <w:r>
        <w:rPr>
          <w:vertAlign w:val="subscript"/>
        </w:rPr>
        <w:t>ατμ</w:t>
      </w:r>
      <w:proofErr w:type="spellEnd"/>
      <w:r>
        <w:t xml:space="preserve"> η δύναμη από την ατμόσφαιρα και </w:t>
      </w:r>
      <w:proofErr w:type="spellStart"/>
      <w:r>
        <w:t>F</w:t>
      </w:r>
      <w:r>
        <w:rPr>
          <w:vertAlign w:val="subscript"/>
        </w:rPr>
        <w:t>υγ</w:t>
      </w:r>
      <w:proofErr w:type="spellEnd"/>
      <w:r>
        <w:t xml:space="preserve"> η </w:t>
      </w:r>
      <w:r w:rsidR="0007202D">
        <w:t>δύναμη</w:t>
      </w:r>
      <w:r>
        <w:t xml:space="preserve"> από το υγρό, αφού στην κάτω επιφάνειά του υπάρχει μια πίεση ίση με την πίεση στο σημείο Ε. Από την ισορροπία του εμβόλου παίρνουμε:</w:t>
      </w:r>
    </w:p>
    <w:p w:rsidR="001D7C2E" w:rsidRDefault="00035733" w:rsidP="00035733">
      <w:pPr>
        <w:jc w:val="center"/>
      </w:pPr>
      <w:r w:rsidRPr="0007202D">
        <w:rPr>
          <w:i/>
          <w:sz w:val="24"/>
          <w:szCs w:val="24"/>
        </w:rPr>
        <w:t xml:space="preserve">ΣF=0 → </w:t>
      </w:r>
      <w:proofErr w:type="spellStart"/>
      <w:r w:rsidR="005712D9" w:rsidRPr="0007202D">
        <w:rPr>
          <w:i/>
          <w:sz w:val="24"/>
          <w:szCs w:val="24"/>
        </w:rPr>
        <w:t>F</w:t>
      </w:r>
      <w:r w:rsidR="005712D9" w:rsidRPr="0007202D">
        <w:rPr>
          <w:i/>
          <w:sz w:val="24"/>
          <w:szCs w:val="24"/>
          <w:vertAlign w:val="subscript"/>
        </w:rPr>
        <w:t>υγ</w:t>
      </w:r>
      <w:proofErr w:type="spellEnd"/>
      <w:r w:rsidR="005712D9" w:rsidRPr="0007202D">
        <w:rPr>
          <w:i/>
          <w:sz w:val="24"/>
          <w:szCs w:val="24"/>
        </w:rPr>
        <w:t>=</w:t>
      </w:r>
      <w:proofErr w:type="spellStart"/>
      <w:r w:rsidRPr="0007202D">
        <w:rPr>
          <w:i/>
          <w:sz w:val="24"/>
          <w:szCs w:val="24"/>
        </w:rPr>
        <w:t>F</w:t>
      </w:r>
      <w:r w:rsidRPr="0007202D">
        <w:rPr>
          <w:i/>
          <w:sz w:val="24"/>
          <w:szCs w:val="24"/>
          <w:vertAlign w:val="subscript"/>
        </w:rPr>
        <w:t>ατμ</w:t>
      </w:r>
      <w:r w:rsidRPr="0007202D">
        <w:rPr>
          <w:i/>
          <w:sz w:val="24"/>
          <w:szCs w:val="24"/>
        </w:rPr>
        <w:t>+w</w:t>
      </w:r>
      <w:proofErr w:type="spellEnd"/>
      <w:r>
        <w:t xml:space="preserve"> →</w:t>
      </w:r>
    </w:p>
    <w:p w:rsidR="00035733" w:rsidRPr="00035733" w:rsidRDefault="00365678" w:rsidP="00035733">
      <w:pPr>
        <w:jc w:val="center"/>
        <w:rPr>
          <w:i/>
        </w:rPr>
      </w:pPr>
      <m:oMathPara>
        <m:oMath>
          <m:f>
            <m:fPr>
              <m:ctrlPr>
                <w:rPr>
                  <w:rFonts w:ascii="Cambria Math" w:hAnsi="Cambria Math"/>
                </w:rPr>
              </m:ctrlPr>
            </m:fPr>
            <m:num>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υγ</m:t>
                  </m:r>
                </m:sub>
              </m:sSub>
            </m:num>
            <m:den>
              <m:r>
                <w:rPr>
                  <w:rFonts w:ascii="Cambria Math" w:hAnsi="Cambria Math"/>
                  <w:lang w:val="en-US"/>
                </w:rPr>
                <m:t>Α</m:t>
              </m:r>
            </m:den>
          </m:f>
          <m:r>
            <w:rPr>
              <w:rFonts w:ascii="Cambria Math" w:hAnsi="Cambria Math"/>
            </w:rPr>
            <m:t>=</m:t>
          </m:r>
          <m:f>
            <m:fPr>
              <m:ctrlPr>
                <w:rPr>
                  <w:rFonts w:ascii="Cambria Math" w:hAnsi="Cambria Math"/>
                </w:rPr>
              </m:ctrlPr>
            </m:fPr>
            <m:num>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ατ</m:t>
                  </m:r>
                </m:sub>
              </m:sSub>
            </m:num>
            <m:den>
              <m:r>
                <w:rPr>
                  <w:rFonts w:ascii="Cambria Math" w:hAnsi="Cambria Math"/>
                  <w:lang w:val="en-US"/>
                </w:rPr>
                <m:t>Α</m:t>
              </m:r>
            </m:den>
          </m:f>
          <m:r>
            <w:rPr>
              <w:rFonts w:ascii="Cambria Math" w:hAnsi="Cambria Math"/>
            </w:rPr>
            <m:t>+</m:t>
          </m:r>
          <m:f>
            <m:fPr>
              <m:ctrlPr>
                <w:rPr>
                  <w:rFonts w:ascii="Cambria Math" w:hAnsi="Cambria Math"/>
                </w:rPr>
              </m:ctrlPr>
            </m:fPr>
            <m:num>
              <m:r>
                <w:rPr>
                  <w:rFonts w:ascii="Cambria Math" w:hAnsi="Cambria Math"/>
                  <w:lang w:val="en-US"/>
                </w:rPr>
                <m:t>w</m:t>
              </m:r>
            </m:num>
            <m:den>
              <m:r>
                <w:rPr>
                  <w:rFonts w:ascii="Cambria Math" w:hAnsi="Cambria Math"/>
                  <w:lang w:val="en-US"/>
                </w:rPr>
                <m:t>Α</m:t>
              </m:r>
            </m:den>
          </m:f>
          <m:r>
            <w:rPr>
              <w:rFonts w:ascii="Cambria Math" w:hAnsi="Cambria Math"/>
            </w:rPr>
            <m:t>→</m:t>
          </m:r>
        </m:oMath>
      </m:oMathPara>
    </w:p>
    <w:p w:rsidR="00035733" w:rsidRPr="003066EA" w:rsidRDefault="00365678" w:rsidP="00035733">
      <w:pPr>
        <w:jc w:val="center"/>
        <w:rPr>
          <w:i/>
        </w:rPr>
      </w:pPr>
      <m:oMathPara>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m:t>
              </m:r>
            </m:sub>
          </m:sSub>
          <m:r>
            <w:rPr>
              <w:rFonts w:ascii="Cambria Math" w:hAnsi="Cambria Math"/>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a</m:t>
              </m:r>
              <m:r>
                <w:rPr>
                  <w:rFonts w:ascii="Cambria Math" w:hAnsi="Cambria Math"/>
                </w:rPr>
                <m:t>τμ</m:t>
              </m:r>
            </m:sub>
          </m:sSub>
          <m:r>
            <w:rPr>
              <w:rFonts w:ascii="Cambria Math" w:hAnsi="Cambria Math"/>
            </w:rPr>
            <m:t>+</m:t>
          </m:r>
          <m:f>
            <m:fPr>
              <m:ctrlPr>
                <w:rPr>
                  <w:rFonts w:ascii="Cambria Math" w:hAnsi="Cambria Math"/>
                </w:rPr>
              </m:ctrlPr>
            </m:fPr>
            <m:num>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1</m:t>
                  </m:r>
                </m:sub>
              </m:sSub>
              <m:r>
                <w:rPr>
                  <w:rFonts w:ascii="Cambria Math" w:hAnsi="Cambria Math"/>
                  <w:lang w:val="en-US"/>
                </w:rPr>
                <m:t>g</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1</m:t>
                  </m:r>
                </m:sub>
              </m:sSub>
              <m:r>
                <w:rPr>
                  <w:rFonts w:ascii="Cambria Math" w:hAnsi="Cambria Math"/>
                  <w:lang w:val="en-US"/>
                </w:rPr>
                <m:t>A-</m:t>
              </m:r>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2</m:t>
                  </m:r>
                </m:sub>
              </m:sSub>
              <m:r>
                <w:rPr>
                  <w:rFonts w:ascii="Cambria Math" w:hAnsi="Cambria Math"/>
                  <w:lang w:val="en-US"/>
                </w:rPr>
                <m:t>g</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2</m:t>
                  </m:r>
                </m:sub>
              </m:sSub>
              <m:r>
                <w:rPr>
                  <w:rFonts w:ascii="Cambria Math" w:hAnsi="Cambria Math"/>
                  <w:lang w:val="en-US"/>
                </w:rPr>
                <m:t>A</m:t>
              </m:r>
            </m:num>
            <m:den>
              <m:r>
                <w:rPr>
                  <w:rFonts w:ascii="Cambria Math" w:hAnsi="Cambria Math"/>
                  <w:lang w:val="en-US"/>
                </w:rPr>
                <m:t>Α</m:t>
              </m:r>
            </m:den>
          </m:f>
          <m:r>
            <w:rPr>
              <w:rFonts w:ascii="Cambria Math" w:hAnsi="Cambria Math"/>
            </w:rPr>
            <m:t>→</m:t>
          </m:r>
        </m:oMath>
      </m:oMathPara>
    </w:p>
    <w:p w:rsidR="003066EA" w:rsidRPr="003066EA" w:rsidRDefault="00365678" w:rsidP="003066EA">
      <w:pPr>
        <w:jc w:val="center"/>
        <w:rPr>
          <w:i/>
          <w:lang w:val="en-US"/>
        </w:rPr>
      </w:pPr>
      <m:oMathPara>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m:t>
              </m:r>
            </m:sub>
          </m:sSub>
          <m:r>
            <w:rPr>
              <w:rFonts w:ascii="Cambria Math" w:hAnsi="Cambria Math"/>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a</m:t>
              </m:r>
              <m:r>
                <w:rPr>
                  <w:rFonts w:ascii="Cambria Math" w:hAnsi="Cambria Math"/>
                </w:rPr>
                <m:t>τμ</m:t>
              </m:r>
            </m:sub>
          </m:sSub>
          <m:r>
            <w:rPr>
              <w:rFonts w:ascii="Cambria Math" w:hAnsi="Cambria Math"/>
            </w:rPr>
            <m:t>+</m:t>
          </m:r>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1</m:t>
              </m:r>
            </m:sub>
          </m:sSub>
          <m:r>
            <w:rPr>
              <w:rFonts w:ascii="Cambria Math" w:hAnsi="Cambria Math"/>
              <w:lang w:val="en-US"/>
            </w:rPr>
            <m:t>g</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2</m:t>
              </m:r>
            </m:sub>
          </m:sSub>
          <m:r>
            <w:rPr>
              <w:rFonts w:ascii="Cambria Math" w:hAnsi="Cambria Math"/>
              <w:lang w:val="en-US"/>
            </w:rPr>
            <m:t>g</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2</m:t>
              </m:r>
            </m:sub>
          </m:sSub>
        </m:oMath>
      </m:oMathPara>
    </w:p>
    <w:p w:rsidR="003066EA" w:rsidRDefault="007D1128" w:rsidP="0007202D">
      <w:pPr>
        <w:ind w:left="340"/>
      </w:pPr>
      <w:r>
        <w:t>Αλλά τότε για την πίεση στο Γ (ίση με την πίεση στο Δ) θα έχουμε:</w:t>
      </w:r>
    </w:p>
    <w:p w:rsidR="007D1128" w:rsidRPr="0007202D" w:rsidRDefault="007D1128" w:rsidP="0007202D">
      <w:pPr>
        <w:jc w:val="center"/>
        <w:rPr>
          <w:i/>
          <w:sz w:val="24"/>
          <w:szCs w:val="24"/>
        </w:rPr>
      </w:pPr>
      <w:proofErr w:type="spellStart"/>
      <w:r w:rsidRPr="0007202D">
        <w:rPr>
          <w:i/>
          <w:sz w:val="24"/>
          <w:szCs w:val="24"/>
        </w:rPr>
        <w:t>p</w:t>
      </w:r>
      <w:r w:rsidRPr="0007202D">
        <w:rPr>
          <w:i/>
          <w:sz w:val="24"/>
          <w:szCs w:val="24"/>
          <w:vertAlign w:val="subscript"/>
        </w:rPr>
        <w:t>Γ</w:t>
      </w:r>
      <w:r w:rsidRPr="0007202D">
        <w:rPr>
          <w:i/>
          <w:sz w:val="24"/>
          <w:szCs w:val="24"/>
        </w:rPr>
        <w:t>-p</w:t>
      </w:r>
      <w:r w:rsidRPr="0007202D">
        <w:rPr>
          <w:i/>
          <w:sz w:val="24"/>
          <w:szCs w:val="24"/>
          <w:vertAlign w:val="subscript"/>
        </w:rPr>
        <w:t>Ε</w:t>
      </w:r>
      <w:proofErr w:type="spellEnd"/>
      <w:r w:rsidRPr="0007202D">
        <w:rPr>
          <w:i/>
          <w:sz w:val="24"/>
          <w:szCs w:val="24"/>
        </w:rPr>
        <w:t>=ρ</w:t>
      </w:r>
      <w:r w:rsidRPr="0007202D">
        <w:rPr>
          <w:i/>
          <w:sz w:val="24"/>
          <w:szCs w:val="24"/>
          <w:vertAlign w:val="subscript"/>
        </w:rPr>
        <w:t>1</w:t>
      </w:r>
      <w:r w:rsidRPr="0007202D">
        <w:rPr>
          <w:i/>
          <w:sz w:val="24"/>
          <w:szCs w:val="24"/>
        </w:rPr>
        <w:t>gy</w:t>
      </w:r>
      <w:r w:rsidRPr="0007202D">
        <w:rPr>
          <w:i/>
          <w:sz w:val="24"/>
          <w:szCs w:val="24"/>
          <w:vertAlign w:val="subscript"/>
        </w:rPr>
        <w:t>1</w:t>
      </w:r>
      <w:r w:rsidRPr="0007202D">
        <w:rPr>
          <w:i/>
          <w:sz w:val="24"/>
          <w:szCs w:val="24"/>
        </w:rPr>
        <w:t>+ρ</w:t>
      </w:r>
      <w:r w:rsidRPr="0007202D">
        <w:rPr>
          <w:i/>
          <w:sz w:val="24"/>
          <w:szCs w:val="24"/>
          <w:vertAlign w:val="subscript"/>
        </w:rPr>
        <w:t>2</w:t>
      </w:r>
      <w:r w:rsidRPr="0007202D">
        <w:rPr>
          <w:i/>
          <w:sz w:val="24"/>
          <w:szCs w:val="24"/>
        </w:rPr>
        <w:t>gy</w:t>
      </w:r>
      <w:r w:rsidRPr="0007202D">
        <w:rPr>
          <w:i/>
          <w:sz w:val="24"/>
          <w:szCs w:val="24"/>
          <w:vertAlign w:val="subscript"/>
        </w:rPr>
        <w:t>2</w:t>
      </w:r>
      <w:r w:rsidRPr="0007202D">
        <w:rPr>
          <w:i/>
          <w:sz w:val="24"/>
          <w:szCs w:val="24"/>
        </w:rPr>
        <w:t xml:space="preserve"> → </w:t>
      </w:r>
      <w:proofErr w:type="spellStart"/>
      <w:r w:rsidRPr="0007202D">
        <w:rPr>
          <w:i/>
          <w:sz w:val="24"/>
          <w:szCs w:val="24"/>
        </w:rPr>
        <w:t>p</w:t>
      </w:r>
      <w:r w:rsidRPr="0007202D">
        <w:rPr>
          <w:i/>
          <w:sz w:val="24"/>
          <w:szCs w:val="24"/>
          <w:vertAlign w:val="subscript"/>
        </w:rPr>
        <w:t>Γ</w:t>
      </w:r>
      <w:proofErr w:type="spellEnd"/>
      <w:r w:rsidRPr="0007202D">
        <w:rPr>
          <w:i/>
          <w:sz w:val="24"/>
          <w:szCs w:val="24"/>
        </w:rPr>
        <w:t>=</w:t>
      </w:r>
      <w:proofErr w:type="spellStart"/>
      <w:r w:rsidRPr="0007202D">
        <w:rPr>
          <w:i/>
          <w:sz w:val="24"/>
          <w:szCs w:val="24"/>
        </w:rPr>
        <w:t>p</w:t>
      </w:r>
      <w:r w:rsidRPr="0007202D">
        <w:rPr>
          <w:i/>
          <w:sz w:val="24"/>
          <w:szCs w:val="24"/>
          <w:vertAlign w:val="subscript"/>
        </w:rPr>
        <w:t>Ε</w:t>
      </w:r>
      <w:proofErr w:type="spellEnd"/>
      <w:r w:rsidRPr="0007202D">
        <w:rPr>
          <w:i/>
          <w:sz w:val="24"/>
          <w:szCs w:val="24"/>
        </w:rPr>
        <w:t>+ ρ</w:t>
      </w:r>
      <w:r w:rsidRPr="0007202D">
        <w:rPr>
          <w:i/>
          <w:sz w:val="24"/>
          <w:szCs w:val="24"/>
          <w:vertAlign w:val="subscript"/>
        </w:rPr>
        <w:t>1</w:t>
      </w:r>
      <w:r w:rsidRPr="0007202D">
        <w:rPr>
          <w:i/>
          <w:sz w:val="24"/>
          <w:szCs w:val="24"/>
        </w:rPr>
        <w:t>gy</w:t>
      </w:r>
      <w:r w:rsidRPr="0007202D">
        <w:rPr>
          <w:i/>
          <w:sz w:val="24"/>
          <w:szCs w:val="24"/>
          <w:vertAlign w:val="subscript"/>
        </w:rPr>
        <w:t>1</w:t>
      </w:r>
      <w:r w:rsidRPr="0007202D">
        <w:rPr>
          <w:i/>
          <w:sz w:val="24"/>
          <w:szCs w:val="24"/>
        </w:rPr>
        <w:t>+ρ</w:t>
      </w:r>
      <w:r w:rsidRPr="0007202D">
        <w:rPr>
          <w:i/>
          <w:sz w:val="24"/>
          <w:szCs w:val="24"/>
          <w:vertAlign w:val="subscript"/>
        </w:rPr>
        <w:t>2</w:t>
      </w:r>
      <w:r w:rsidRPr="0007202D">
        <w:rPr>
          <w:i/>
          <w:sz w:val="24"/>
          <w:szCs w:val="24"/>
        </w:rPr>
        <w:t>gy</w:t>
      </w:r>
      <w:r w:rsidRPr="0007202D">
        <w:rPr>
          <w:i/>
          <w:sz w:val="24"/>
          <w:szCs w:val="24"/>
          <w:vertAlign w:val="subscript"/>
        </w:rPr>
        <w:t>2</w:t>
      </w:r>
      <w:r w:rsidRPr="0007202D">
        <w:rPr>
          <w:i/>
          <w:sz w:val="24"/>
          <w:szCs w:val="24"/>
        </w:rPr>
        <w:t xml:space="preserve"> →</w:t>
      </w:r>
    </w:p>
    <w:p w:rsidR="007D1128" w:rsidRPr="0007202D" w:rsidRDefault="007D1128" w:rsidP="0007202D">
      <w:pPr>
        <w:jc w:val="center"/>
        <w:rPr>
          <w:i/>
          <w:sz w:val="24"/>
          <w:szCs w:val="24"/>
        </w:rPr>
      </w:pPr>
      <w:proofErr w:type="spellStart"/>
      <w:r w:rsidRPr="0007202D">
        <w:rPr>
          <w:i/>
          <w:sz w:val="24"/>
          <w:szCs w:val="24"/>
        </w:rPr>
        <w:t>p</w:t>
      </w:r>
      <w:r w:rsidRPr="0007202D">
        <w:rPr>
          <w:i/>
          <w:sz w:val="24"/>
          <w:szCs w:val="24"/>
          <w:vertAlign w:val="subscript"/>
        </w:rPr>
        <w:t>ατμ</w:t>
      </w:r>
      <w:proofErr w:type="spellEnd"/>
      <w:r w:rsidRPr="0007202D">
        <w:rPr>
          <w:i/>
          <w:sz w:val="24"/>
          <w:szCs w:val="24"/>
        </w:rPr>
        <w:t>+ ρ</w:t>
      </w:r>
      <w:r w:rsidRPr="0007202D">
        <w:rPr>
          <w:i/>
          <w:sz w:val="24"/>
          <w:szCs w:val="24"/>
          <w:vertAlign w:val="subscript"/>
        </w:rPr>
        <w:t>1</w:t>
      </w:r>
      <w:r w:rsidRPr="0007202D">
        <w:rPr>
          <w:i/>
          <w:sz w:val="24"/>
          <w:szCs w:val="24"/>
        </w:rPr>
        <w:t>gh =p</w:t>
      </w:r>
      <w:r w:rsidRPr="0007202D">
        <w:rPr>
          <w:i/>
          <w:sz w:val="24"/>
          <w:szCs w:val="24"/>
          <w:vertAlign w:val="subscript"/>
        </w:rPr>
        <w:t>ατμ</w:t>
      </w:r>
      <w:r w:rsidRPr="0007202D">
        <w:rPr>
          <w:i/>
          <w:sz w:val="24"/>
          <w:szCs w:val="24"/>
        </w:rPr>
        <w:t>+ρ</w:t>
      </w:r>
      <w:r w:rsidRPr="0007202D">
        <w:rPr>
          <w:i/>
          <w:sz w:val="24"/>
          <w:szCs w:val="24"/>
          <w:vertAlign w:val="subscript"/>
        </w:rPr>
        <w:t>1</w:t>
      </w:r>
      <w:r w:rsidRPr="0007202D">
        <w:rPr>
          <w:i/>
          <w:sz w:val="24"/>
          <w:szCs w:val="24"/>
        </w:rPr>
        <w:t>gy</w:t>
      </w:r>
      <w:r w:rsidRPr="0007202D">
        <w:rPr>
          <w:i/>
          <w:sz w:val="24"/>
          <w:szCs w:val="24"/>
          <w:vertAlign w:val="subscript"/>
        </w:rPr>
        <w:t>1</w:t>
      </w:r>
      <w:r w:rsidRPr="0007202D">
        <w:rPr>
          <w:i/>
          <w:sz w:val="24"/>
          <w:szCs w:val="24"/>
        </w:rPr>
        <w:t xml:space="preserve"> – ρ</w:t>
      </w:r>
      <w:r w:rsidRPr="0007202D">
        <w:rPr>
          <w:i/>
          <w:sz w:val="24"/>
          <w:szCs w:val="24"/>
          <w:vertAlign w:val="subscript"/>
        </w:rPr>
        <w:t>2</w:t>
      </w:r>
      <w:r w:rsidRPr="0007202D">
        <w:rPr>
          <w:i/>
          <w:sz w:val="24"/>
          <w:szCs w:val="24"/>
        </w:rPr>
        <w:t>gy</w:t>
      </w:r>
      <w:r w:rsidRPr="0007202D">
        <w:rPr>
          <w:i/>
          <w:sz w:val="24"/>
          <w:szCs w:val="24"/>
          <w:vertAlign w:val="subscript"/>
        </w:rPr>
        <w:t>2</w:t>
      </w:r>
      <w:r w:rsidRPr="0007202D">
        <w:rPr>
          <w:i/>
          <w:sz w:val="24"/>
          <w:szCs w:val="24"/>
        </w:rPr>
        <w:t xml:space="preserve"> + ρ</w:t>
      </w:r>
      <w:r w:rsidRPr="0007202D">
        <w:rPr>
          <w:i/>
          <w:sz w:val="24"/>
          <w:szCs w:val="24"/>
          <w:vertAlign w:val="subscript"/>
        </w:rPr>
        <w:t>1</w:t>
      </w:r>
      <w:r w:rsidRPr="0007202D">
        <w:rPr>
          <w:i/>
          <w:sz w:val="24"/>
          <w:szCs w:val="24"/>
        </w:rPr>
        <w:t>gy</w:t>
      </w:r>
      <w:r w:rsidRPr="0007202D">
        <w:rPr>
          <w:i/>
          <w:sz w:val="24"/>
          <w:szCs w:val="24"/>
          <w:vertAlign w:val="subscript"/>
        </w:rPr>
        <w:t>1</w:t>
      </w:r>
      <w:r w:rsidRPr="0007202D">
        <w:rPr>
          <w:i/>
          <w:sz w:val="24"/>
          <w:szCs w:val="24"/>
        </w:rPr>
        <w:t xml:space="preserve"> + ρ</w:t>
      </w:r>
      <w:r w:rsidRPr="0007202D">
        <w:rPr>
          <w:i/>
          <w:sz w:val="24"/>
          <w:szCs w:val="24"/>
          <w:vertAlign w:val="subscript"/>
        </w:rPr>
        <w:t>2</w:t>
      </w:r>
      <w:r w:rsidRPr="0007202D">
        <w:rPr>
          <w:i/>
          <w:sz w:val="24"/>
          <w:szCs w:val="24"/>
        </w:rPr>
        <w:t>gy</w:t>
      </w:r>
      <w:r w:rsidRPr="0007202D">
        <w:rPr>
          <w:i/>
          <w:sz w:val="24"/>
          <w:szCs w:val="24"/>
          <w:vertAlign w:val="subscript"/>
        </w:rPr>
        <w:t>2</w:t>
      </w:r>
      <w:r w:rsidRPr="0007202D">
        <w:rPr>
          <w:i/>
          <w:sz w:val="24"/>
          <w:szCs w:val="24"/>
        </w:rPr>
        <w:t xml:space="preserve"> →</w:t>
      </w:r>
    </w:p>
    <w:p w:rsidR="007D1128" w:rsidRPr="0007202D" w:rsidRDefault="0007202D" w:rsidP="0007202D">
      <w:pPr>
        <w:jc w:val="center"/>
        <w:rPr>
          <w:i/>
          <w:sz w:val="24"/>
          <w:szCs w:val="24"/>
        </w:rPr>
      </w:pPr>
      <w:r w:rsidRPr="0007202D">
        <w:rPr>
          <w:i/>
          <w:sz w:val="24"/>
          <w:szCs w:val="24"/>
        </w:rPr>
        <w:t>h=2y</w:t>
      </w:r>
      <w:r w:rsidRPr="0007202D">
        <w:rPr>
          <w:i/>
          <w:sz w:val="24"/>
          <w:szCs w:val="24"/>
          <w:vertAlign w:val="subscript"/>
        </w:rPr>
        <w:t>1</w:t>
      </w:r>
      <w:r w:rsidRPr="0007202D">
        <w:rPr>
          <w:i/>
          <w:sz w:val="24"/>
          <w:szCs w:val="24"/>
        </w:rPr>
        <w:t>.</w:t>
      </w:r>
    </w:p>
    <w:p w:rsidR="0007202D" w:rsidRPr="0007202D" w:rsidRDefault="0007202D" w:rsidP="0007202D">
      <w:pPr>
        <w:ind w:left="340"/>
      </w:pPr>
      <w:r>
        <w:t xml:space="preserve">Σωστό το α). </w:t>
      </w:r>
    </w:p>
    <w:p w:rsidR="003066EA" w:rsidRPr="00035733" w:rsidRDefault="006C2F36" w:rsidP="006C2F36">
      <w:pPr>
        <w:jc w:val="right"/>
        <w:rPr>
          <w:i/>
        </w:rPr>
      </w:pPr>
      <w:r w:rsidRPr="006C2F36">
        <w:rPr>
          <w:b/>
          <w:i/>
          <w:color w:val="0070C0"/>
          <w:sz w:val="24"/>
          <w:szCs w:val="24"/>
        </w:rPr>
        <w:t>dmargaris@gmail.com</w:t>
      </w:r>
    </w:p>
    <w:p w:rsidR="00035733" w:rsidRPr="00035733" w:rsidRDefault="00035733" w:rsidP="00035733">
      <w:pPr>
        <w:jc w:val="center"/>
        <w:rPr>
          <w:i/>
        </w:rPr>
      </w:pPr>
    </w:p>
    <w:p w:rsidR="00035733" w:rsidRPr="00035733" w:rsidRDefault="00035733" w:rsidP="00035733">
      <w:pPr>
        <w:jc w:val="center"/>
      </w:pPr>
    </w:p>
    <w:p w:rsidR="00035733" w:rsidRPr="00035733" w:rsidRDefault="00035733" w:rsidP="00035733">
      <w:pPr>
        <w:jc w:val="center"/>
      </w:pPr>
    </w:p>
    <w:p w:rsidR="0082465E" w:rsidRPr="00C65C13" w:rsidRDefault="0082465E" w:rsidP="00551E32"/>
    <w:sectPr w:rsidR="0082465E" w:rsidRPr="00C65C13" w:rsidSect="00465D8E">
      <w:headerReference w:type="default" r:id="rId13"/>
      <w:footerReference w:type="default" r:id="rId14"/>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678" w:rsidRDefault="00365678">
      <w:pPr>
        <w:spacing w:after="0" w:line="240" w:lineRule="auto"/>
      </w:pPr>
      <w:r>
        <w:separator/>
      </w:r>
    </w:p>
  </w:endnote>
  <w:endnote w:type="continuationSeparator" w:id="0">
    <w:p w:rsidR="00365678" w:rsidRDefault="00365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678" w:rsidRDefault="00365678">
      <w:pPr>
        <w:spacing w:after="0" w:line="240" w:lineRule="auto"/>
      </w:pPr>
      <w:r>
        <w:separator/>
      </w:r>
    </w:p>
  </w:footnote>
  <w:footnote w:type="continuationSeparator" w:id="0">
    <w:p w:rsidR="00365678" w:rsidRDefault="00365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E214EB"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E214EB">
      <w:rPr>
        <w:i/>
      </w:rPr>
      <w:t>Ρευστά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FE440AC4"/>
    <w:lvl w:ilvl="0" w:tplc="9B1612B2">
      <w:start w:val="1"/>
      <w:numFmt w:val="decimal"/>
      <w:pStyle w:val="a"/>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EB"/>
    <w:rsid w:val="00035733"/>
    <w:rsid w:val="0007202D"/>
    <w:rsid w:val="000A5A2D"/>
    <w:rsid w:val="000C34FC"/>
    <w:rsid w:val="001764F7"/>
    <w:rsid w:val="001D7C2E"/>
    <w:rsid w:val="003066EA"/>
    <w:rsid w:val="00334BD8"/>
    <w:rsid w:val="00342B66"/>
    <w:rsid w:val="00365678"/>
    <w:rsid w:val="0037681E"/>
    <w:rsid w:val="003B4900"/>
    <w:rsid w:val="003D2058"/>
    <w:rsid w:val="003D3986"/>
    <w:rsid w:val="003D5E6E"/>
    <w:rsid w:val="0041752B"/>
    <w:rsid w:val="0044454D"/>
    <w:rsid w:val="00465D8E"/>
    <w:rsid w:val="004C557D"/>
    <w:rsid w:val="004F7518"/>
    <w:rsid w:val="00551E32"/>
    <w:rsid w:val="005712D9"/>
    <w:rsid w:val="00572886"/>
    <w:rsid w:val="0059732B"/>
    <w:rsid w:val="005C059F"/>
    <w:rsid w:val="00610EFF"/>
    <w:rsid w:val="00667E23"/>
    <w:rsid w:val="006C2F36"/>
    <w:rsid w:val="00717932"/>
    <w:rsid w:val="0079641C"/>
    <w:rsid w:val="007D1128"/>
    <w:rsid w:val="007E115B"/>
    <w:rsid w:val="0081576D"/>
    <w:rsid w:val="0082465E"/>
    <w:rsid w:val="008945AD"/>
    <w:rsid w:val="00916C83"/>
    <w:rsid w:val="00966E2A"/>
    <w:rsid w:val="009A1C4D"/>
    <w:rsid w:val="00AC5AC3"/>
    <w:rsid w:val="00B11C3D"/>
    <w:rsid w:val="00B4515B"/>
    <w:rsid w:val="00B820C2"/>
    <w:rsid w:val="00C0056A"/>
    <w:rsid w:val="00C152C1"/>
    <w:rsid w:val="00C25CE8"/>
    <w:rsid w:val="00C65C13"/>
    <w:rsid w:val="00CA7A43"/>
    <w:rsid w:val="00CE5F96"/>
    <w:rsid w:val="00D045EF"/>
    <w:rsid w:val="00D82210"/>
    <w:rsid w:val="00DE49E1"/>
    <w:rsid w:val="00E214EB"/>
    <w:rsid w:val="00E22A0E"/>
    <w:rsid w:val="00E87653"/>
    <w:rsid w:val="00EA64C4"/>
    <w:rsid w:val="00EB2362"/>
    <w:rsid w:val="00EB6640"/>
    <w:rsid w:val="00EC647B"/>
    <w:rsid w:val="00EE7957"/>
    <w:rsid w:val="00F6515A"/>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656BD2"/>
  <w15:chartTrackingRefBased/>
  <w15:docId w15:val="{224B4910-F002-47E3-8CC2-7A9BBF92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8945AD"/>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1D7C2E"/>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41752B"/>
    <w:pPr>
      <w:numPr>
        <w:numId w:val="6"/>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 w:type="paragraph" w:styleId="a7">
    <w:name w:val="Balloon Text"/>
    <w:basedOn w:val="a0"/>
    <w:link w:val="Char1"/>
    <w:uiPriority w:val="99"/>
    <w:semiHidden/>
    <w:unhideWhenUsed/>
    <w:rsid w:val="00E214EB"/>
    <w:pPr>
      <w:spacing w:after="0" w:line="240" w:lineRule="auto"/>
    </w:pPr>
    <w:rPr>
      <w:rFonts w:ascii="Segoe UI" w:hAnsi="Segoe UI" w:cs="Segoe UI"/>
      <w:sz w:val="18"/>
      <w:szCs w:val="18"/>
    </w:rPr>
  </w:style>
  <w:style w:type="character" w:customStyle="1" w:styleId="Char1">
    <w:name w:val="Κείμενο πλαισίου Char"/>
    <w:basedOn w:val="a1"/>
    <w:link w:val="a7"/>
    <w:uiPriority w:val="99"/>
    <w:semiHidden/>
    <w:rsid w:val="00E214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28FE1-8FDD-4BA4-B6CA-2D0374E9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328</Words>
  <Characters>1777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3</cp:revision>
  <cp:lastPrinted>2020-01-14T06:48:00Z</cp:lastPrinted>
  <dcterms:created xsi:type="dcterms:W3CDTF">2020-01-14T06:48:00Z</dcterms:created>
  <dcterms:modified xsi:type="dcterms:W3CDTF">2020-01-14T06:52:00Z</dcterms:modified>
</cp:coreProperties>
</file>