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A420FC" w:rsidRDefault="00A420FC" w:rsidP="00880ED0">
      <w:pPr>
        <w:pStyle w:val="10"/>
        <w:ind w:left="1701" w:right="1701"/>
      </w:pPr>
      <w:r>
        <w:t>Ποιο κινητό μετατοπίζεται περισσότερο;</w:t>
      </w:r>
    </w:p>
    <w:p w:rsidR="00B820C2" w:rsidRDefault="00933B24" w:rsidP="00BF375D">
      <w:pPr>
        <w:ind w:left="340" w:hanging="340"/>
      </w:pPr>
      <w:r>
        <w:t xml:space="preserve">1) </w:t>
      </w:r>
      <w:r w:rsidR="00A420FC">
        <w:t>Από το ίδιο σημείο ενός ευθύγραμμου δρόμου, την ίδια στιγμή ξεκινούν να κινούνται, δύο κινητά. Στο διάγραμμα</w:t>
      </w:r>
      <w:r w:rsidR="00BF375D">
        <w:t xml:space="preserve"> (α)</w:t>
      </w:r>
      <w:r w:rsidR="00A420FC">
        <w:t xml:space="preserve"> δίνεται πώς μεταβάλλονται οι ταχύτητες των κινητών</w:t>
      </w:r>
      <w:r w:rsidR="00BF375D">
        <w:t>, σε συνάρτηση με το χρόνο</w:t>
      </w:r>
      <w:r w:rsidR="00A420FC">
        <w:t>.</w:t>
      </w:r>
    </w:p>
    <w:p w:rsidR="008D2F08" w:rsidRDefault="00C06268" w:rsidP="00BF375D">
      <w:pPr>
        <w:ind w:left="680" w:hanging="340"/>
      </w:pPr>
      <w:r>
        <w:t xml:space="preserve">i) </w:t>
      </w:r>
      <w:r w:rsidR="006C667F">
        <w:t xml:space="preserve"> </w:t>
      </w:r>
      <w:r>
        <w:t xml:space="preserve">Ευθύγραμμη ομαλά επιταχυνόμενη κίνηση, μέχρι τη στιγμή </w:t>
      </w:r>
      <w:r w:rsidRPr="00C06268">
        <w:t>t</w:t>
      </w:r>
      <w:r>
        <w:rPr>
          <w:vertAlign w:val="subscript"/>
        </w:rPr>
        <w:t>1</w:t>
      </w:r>
      <w:r>
        <w:t xml:space="preserve"> </w:t>
      </w:r>
      <w:r w:rsidRPr="00C06268">
        <w:t>εκτελεί</w:t>
      </w:r>
      <w:r>
        <w:t xml:space="preserve"> το κινητό:</w:t>
      </w:r>
      <w:r w:rsidR="00EA60EA" w:rsidRPr="00EA60EA">
        <w:rPr>
          <w:noProof/>
        </w:rPr>
        <w:t xml:space="preserve"> </w:t>
      </w:r>
      <w:bookmarkStart w:id="0" w:name="_GoBack"/>
      <w:bookmarkEnd w:id="0"/>
    </w:p>
    <w:p w:rsidR="00C06268" w:rsidRDefault="00C06268" w:rsidP="00BF375D">
      <w:pPr>
        <w:ind w:left="680" w:hanging="340"/>
        <w:jc w:val="center"/>
      </w:pPr>
      <w:r>
        <w:t>α) Α,    β) Β,    γ) και τα δύο κινητά.</w:t>
      </w:r>
    </w:p>
    <w:p w:rsidR="00C06268" w:rsidRDefault="00C06268" w:rsidP="00BF375D">
      <w:pPr>
        <w:ind w:left="680" w:hanging="340"/>
      </w:pPr>
      <w:proofErr w:type="spellStart"/>
      <w:r>
        <w:t>ii</w:t>
      </w:r>
      <w:proofErr w:type="spellEnd"/>
      <w:r>
        <w:t>) Μεγαλύτερη απόσταση</w:t>
      </w:r>
      <w:r w:rsidR="00C11194">
        <w:t xml:space="preserve"> </w:t>
      </w:r>
      <w:r w:rsidR="00C11194">
        <w:t>μέχρι τη στιγμή t</w:t>
      </w:r>
      <w:r w:rsidR="00C11194">
        <w:rPr>
          <w:vertAlign w:val="subscript"/>
        </w:rPr>
        <w:t>2</w:t>
      </w:r>
      <w:r w:rsidR="00C11194">
        <w:t xml:space="preserve">, </w:t>
      </w:r>
      <w:r>
        <w:t>διανύει το κινητό:</w:t>
      </w:r>
    </w:p>
    <w:p w:rsidR="00C06268" w:rsidRDefault="00C06268" w:rsidP="006C667F">
      <w:pPr>
        <w:ind w:left="453" w:hanging="340"/>
        <w:jc w:val="center"/>
      </w:pPr>
      <w:r>
        <w:t xml:space="preserve">α) Α,    </w:t>
      </w:r>
      <w:r w:rsidR="005116F0">
        <w:t xml:space="preserve">     </w:t>
      </w:r>
      <w:r>
        <w:t xml:space="preserve">β) Β,  </w:t>
      </w:r>
      <w:r w:rsidR="005116F0">
        <w:t xml:space="preserve">    </w:t>
      </w:r>
      <w:r>
        <w:t xml:space="preserve">  γ) τα δύο κινητά</w:t>
      </w:r>
      <w:r w:rsidR="00C11194">
        <w:t xml:space="preserve"> </w:t>
      </w:r>
      <w:r w:rsidR="0088055D">
        <w:t>διανύουν ίσες αποστάσεις</w:t>
      </w:r>
      <w:r>
        <w:t>.</w:t>
      </w:r>
    </w:p>
    <w:p w:rsidR="006C667F" w:rsidRDefault="006C667F" w:rsidP="00682366">
      <w:pPr>
        <w:ind w:left="340"/>
      </w:pPr>
      <w:r>
        <w:t>Να δικαιολογήσετε τις απαντήσεις σας.</w:t>
      </w:r>
    </w:p>
    <w:p w:rsidR="00BF375D" w:rsidRDefault="00682366" w:rsidP="00BF375D">
      <w:pPr>
        <w:jc w:val="center"/>
      </w:pPr>
      <w:r>
        <w:object w:dxaOrig="7728" w:dyaOrig="2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86.45pt;height:129.6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47" DrawAspect="Content" ObjectID="_1666176585" r:id="rId9"/>
        </w:object>
      </w:r>
    </w:p>
    <w:p w:rsidR="006C667F" w:rsidRDefault="00933B24" w:rsidP="00BF375D">
      <w:pPr>
        <w:ind w:left="340" w:hanging="340"/>
      </w:pPr>
      <w:r>
        <w:t xml:space="preserve">2) </w:t>
      </w:r>
      <w:r w:rsidR="005116F0">
        <w:t xml:space="preserve"> </w:t>
      </w:r>
      <w:r>
        <w:t xml:space="preserve">Ποιες θα ήταν οι απαντήσεις στα παραπάνω ερωτήματα, αν το διάγραμμα για τις ταχύτητες των κινητών, ήταν όπως στο </w:t>
      </w:r>
      <w:r w:rsidR="00BF375D">
        <w:t>(</w:t>
      </w:r>
      <w:r w:rsidR="00A71E53">
        <w:t>β) διάγραμμα;</w:t>
      </w:r>
    </w:p>
    <w:p w:rsidR="00C06268" w:rsidRPr="00C737A6" w:rsidRDefault="00BF375D" w:rsidP="00C737A6">
      <w:pPr>
        <w:spacing w:before="120"/>
        <w:rPr>
          <w:b/>
          <w:i/>
          <w:color w:val="0070C0"/>
          <w:sz w:val="24"/>
          <w:szCs w:val="24"/>
        </w:rPr>
      </w:pPr>
      <w:r w:rsidRPr="00C737A6">
        <w:rPr>
          <w:b/>
          <w:i/>
          <w:color w:val="0070C0"/>
          <w:sz w:val="24"/>
          <w:szCs w:val="24"/>
        </w:rPr>
        <w:t>Απάντηση:</w:t>
      </w:r>
    </w:p>
    <w:p w:rsidR="00C737A6" w:rsidRDefault="003D6946" w:rsidP="003219C4">
      <w:pPr>
        <w:pStyle w:val="a"/>
      </w:pPr>
      <w:r>
        <w:t xml:space="preserve">Ευθύγραμμη ομαλά επιταχυνόμενη κίνηση εκτελεί το κινητό που κινείται με σταθερή επιτάχυνση. Στο διάγραμμα υ-t, η επιτάχυνση είναι ίση με την κλίση της γραφικής παράστασης σε κάθε θέση. </w:t>
      </w:r>
    </w:p>
    <w:p w:rsidR="003D6946" w:rsidRDefault="003D6946" w:rsidP="00C737A6">
      <w:pPr>
        <w:pStyle w:val="1"/>
      </w:pPr>
      <w:r>
        <w:t>Αλλά με βάση το πρώτο, από τα παρακάτω σχήματα, η κλίση της ευθείας, για το Β κινητό είναι σταθερή, αλλά αυτό δεν συμβαίνει για την κλίση της καμπύλης για το κινητό Α. Η κλίση μειώνεται με την πάροδο του χρόνου. Άρα μόνο το Β κινητό εκτελεί ευθύγραμμη ομαλά επιταχυνόμενη κίνηση από 0-t</w:t>
      </w:r>
      <w:r w:rsidRPr="00C737A6">
        <w:rPr>
          <w:vertAlign w:val="subscript"/>
        </w:rPr>
        <w:t>1</w:t>
      </w:r>
      <w:r>
        <w:t>.</w:t>
      </w:r>
      <w:r w:rsidR="00C737A6">
        <w:t xml:space="preserve"> </w:t>
      </w:r>
      <w:r>
        <w:t>Σωστό το β).</w:t>
      </w:r>
    </w:p>
    <w:p w:rsidR="003D6946" w:rsidRPr="00C06268" w:rsidRDefault="00C737A6" w:rsidP="00C737A6">
      <w:pPr>
        <w:ind w:left="340"/>
        <w:jc w:val="center"/>
      </w:pPr>
      <w:r>
        <w:object w:dxaOrig="9481" w:dyaOrig="2449">
          <v:shape id="_x0000_i1052" type="#_x0000_t75" style="width:440.7pt;height:113.85pt" o:ole="" filled="t" fillcolor="#bdd6ee [1300]">
            <v:fill color2="fill lighten(51)" focusposition="1" focussize="" method="linear sigma" type="gradient"/>
            <v:imagedata r:id="rId10" o:title=""/>
          </v:shape>
          <o:OLEObject Type="Embed" ProgID="Visio.Drawing.15" ShapeID="_x0000_i1052" DrawAspect="Content" ObjectID="_1666176586" r:id="rId11"/>
        </w:object>
      </w:r>
    </w:p>
    <w:p w:rsidR="00A420FC" w:rsidRDefault="00C737A6" w:rsidP="00C737A6">
      <w:pPr>
        <w:pStyle w:val="1"/>
      </w:pPr>
      <w:r>
        <w:t>Η μετατόπιση κάθε κινητού είναι ίση αριθμητικά με το εμβαδόν του χωρίου που σχηματίζει η γραφική παράσταση υ-t με τον άξονα των χρόνων. Αλλά τότε το εμβαδόν του κίτρινου χωρίου, στο μεσαίο σχήμα «μετράει» την μετατόπιση Δx</w:t>
      </w:r>
      <w:r>
        <w:rPr>
          <w:vertAlign w:val="subscript"/>
        </w:rPr>
        <w:t>2</w:t>
      </w:r>
      <w:r>
        <w:t xml:space="preserve"> του Β κινητού. </w:t>
      </w:r>
      <w:r w:rsidR="007B30B3">
        <w:t xml:space="preserve">Αντίστοιχα το εμβαδόν του γαλάζιου χωρίου στο </w:t>
      </w:r>
      <w:r w:rsidR="007B30B3">
        <w:lastRenderedPageBreak/>
        <w:t>δεξιό σχήμα, μας δίνει την μετατόπιση Δx</w:t>
      </w:r>
      <w:r w:rsidR="007B30B3">
        <w:rPr>
          <w:vertAlign w:val="subscript"/>
        </w:rPr>
        <w:t>1</w:t>
      </w:r>
      <w:r w:rsidR="007B30B3">
        <w:t xml:space="preserve"> του Α κινητού. Από την σύγκριση των δύο εμβαδών προκύπτει ότι Δx</w:t>
      </w:r>
      <w:r w:rsidR="007B30B3">
        <w:rPr>
          <w:vertAlign w:val="subscript"/>
        </w:rPr>
        <w:t>1</w:t>
      </w:r>
      <w:r w:rsidR="007B30B3">
        <w:t>&gt;Δx</w:t>
      </w:r>
      <w:r w:rsidR="007B30B3">
        <w:rPr>
          <w:vertAlign w:val="subscript"/>
        </w:rPr>
        <w:t>2</w:t>
      </w:r>
      <w:r w:rsidR="007B30B3">
        <w:t>, οπότε το Α κινητό διανύει και μεγαλύτερη απόσταση από το Β. Σωστό το α).</w:t>
      </w:r>
    </w:p>
    <w:p w:rsidR="000D268F" w:rsidRDefault="007B30B3" w:rsidP="000D268F">
      <w:pPr>
        <w:pStyle w:val="a"/>
      </w:pPr>
      <w:r>
        <w:t>Με βάση την παραπάνω ανάλυση,</w:t>
      </w:r>
      <w:r w:rsidR="000D268F">
        <w:t xml:space="preserve"> μπορούμε να απαντήσουμε και στην περίπτωση του (β) σχήματος.</w:t>
      </w:r>
    </w:p>
    <w:p w:rsidR="007B30B3" w:rsidRDefault="000D268F" w:rsidP="000D268F">
      <w:pPr>
        <w:pStyle w:val="1"/>
        <w:numPr>
          <w:ilvl w:val="1"/>
          <w:numId w:val="14"/>
        </w:numPr>
      </w:pPr>
      <w:r>
        <w:t>Ό</w:t>
      </w:r>
      <w:r w:rsidR="007B30B3">
        <w:t>ταν έρθουμε στο σχήμα (β) και οι δύο γραφικές παραστάσεις είναι ευθείες με σταθερές κλίσεις. Συνεπώς τα δύο κινητά έχουν σταθερές επιτ</w:t>
      </w:r>
      <w:r>
        <w:t>αχύ</w:t>
      </w:r>
      <w:r w:rsidR="007B30B3">
        <w:t>νσεις, εκτελώντας και τα δύο ευθύγραμμες ομαλά επιταχυνόμενες κινήσεις</w:t>
      </w:r>
      <w:r>
        <w:t>. Σωστό το γ).</w:t>
      </w:r>
    </w:p>
    <w:p w:rsidR="000D268F" w:rsidRDefault="000D268F" w:rsidP="00C737A6">
      <w:pPr>
        <w:pStyle w:val="1"/>
      </w:pPr>
      <w:r>
        <w:t>Σωστό είναι ξανά το γ), αφού οι μετατοπίσεις είναι αριθμητικά ίσες με τα εμβαδά των δύο τριγώνων, στο παρακάτω σχήμα:</w:t>
      </w:r>
    </w:p>
    <w:p w:rsidR="000D268F" w:rsidRDefault="00E148A0" w:rsidP="000D268F">
      <w:pPr>
        <w:jc w:val="center"/>
      </w:pPr>
      <w:r>
        <w:object w:dxaOrig="7740" w:dyaOrig="2327">
          <v:shape id="_x0000_i1063" type="#_x0000_t75" style="width:387.15pt;height:116.2pt" o:ole="" filled="t" fillcolor="#bdd6ee [1300]">
            <v:fill color2="fill lighten(51)" focusposition="1" focussize="" method="linear sigma" type="gradient"/>
            <v:imagedata r:id="rId12" o:title=""/>
          </v:shape>
          <o:OLEObject Type="Embed" ProgID="Visio.Drawing.15" ShapeID="_x0000_i1063" DrawAspect="Content" ObjectID="_1666176587" r:id="rId13"/>
        </w:object>
      </w:r>
    </w:p>
    <w:p w:rsidR="000D268F" w:rsidRDefault="00E148A0" w:rsidP="00E148A0">
      <w:pPr>
        <w:ind w:left="720"/>
      </w:pPr>
      <w:r>
        <w:t>Αλλά τα δύο τρίγωνα έχουν την ίδια βάση και ίσα ύψη, οπότε έχουν ίσα εμβαδά:</w:t>
      </w:r>
    </w:p>
    <w:p w:rsidR="00E148A0" w:rsidRDefault="00E148A0" w:rsidP="00E148A0">
      <w:pPr>
        <w:ind w:left="720"/>
        <w:jc w:val="center"/>
      </w:pPr>
      <w:r w:rsidRPr="00E148A0">
        <w:rPr>
          <w:position w:val="-24"/>
        </w:rPr>
        <w:object w:dxaOrig="999" w:dyaOrig="620">
          <v:shape id="_x0000_i1061" type="#_x0000_t75" style="width:49.9pt;height:31.15pt" o:ole="">
            <v:imagedata r:id="rId14" o:title=""/>
          </v:shape>
          <o:OLEObject Type="Embed" ProgID="Equation.DSMT4" ShapeID="_x0000_i1061" DrawAspect="Content" ObjectID="_1666176588" r:id="rId15"/>
        </w:object>
      </w:r>
    </w:p>
    <w:p w:rsidR="00E148A0" w:rsidRDefault="00E148A0" w:rsidP="00E148A0">
      <w:pPr>
        <w:ind w:left="720"/>
      </w:pPr>
      <w:r>
        <w:t>Πράγμα που σημαίνει ότι τα δύο κινητά διανύουν και ίσες αποστάσεις.</w:t>
      </w:r>
    </w:p>
    <w:p w:rsidR="00CA5B4E" w:rsidRDefault="001D1ED9" w:rsidP="001D1ED9">
      <w:pPr>
        <w:ind w:left="72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CA5B4E" w:rsidSect="00465D8E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F5" w:rsidRDefault="00DA24F5">
      <w:pPr>
        <w:spacing w:after="0" w:line="240" w:lineRule="auto"/>
      </w:pPr>
      <w:r>
        <w:separator/>
      </w:r>
    </w:p>
  </w:endnote>
  <w:endnote w:type="continuationSeparator" w:id="0">
    <w:p w:rsidR="00DA24F5" w:rsidRDefault="00DA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F5" w:rsidRDefault="00DA24F5">
      <w:pPr>
        <w:spacing w:after="0" w:line="240" w:lineRule="auto"/>
      </w:pPr>
      <w:r>
        <w:separator/>
      </w:r>
    </w:p>
  </w:footnote>
  <w:footnote w:type="continuationSeparator" w:id="0">
    <w:p w:rsidR="00DA24F5" w:rsidRDefault="00DA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420FC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C"/>
    <w:rsid w:val="000701A8"/>
    <w:rsid w:val="000A5A2D"/>
    <w:rsid w:val="000C34FC"/>
    <w:rsid w:val="000D268F"/>
    <w:rsid w:val="001764F7"/>
    <w:rsid w:val="001865ED"/>
    <w:rsid w:val="001D1ED9"/>
    <w:rsid w:val="002D5901"/>
    <w:rsid w:val="003219C4"/>
    <w:rsid w:val="00334BD8"/>
    <w:rsid w:val="00342B66"/>
    <w:rsid w:val="00355EF4"/>
    <w:rsid w:val="003B4900"/>
    <w:rsid w:val="003D2058"/>
    <w:rsid w:val="003D5E6E"/>
    <w:rsid w:val="003D6946"/>
    <w:rsid w:val="0041752B"/>
    <w:rsid w:val="0044454D"/>
    <w:rsid w:val="00465D8E"/>
    <w:rsid w:val="00497E08"/>
    <w:rsid w:val="004F7518"/>
    <w:rsid w:val="005116F0"/>
    <w:rsid w:val="005428E3"/>
    <w:rsid w:val="00572886"/>
    <w:rsid w:val="005C059F"/>
    <w:rsid w:val="00667E23"/>
    <w:rsid w:val="00682366"/>
    <w:rsid w:val="006C667F"/>
    <w:rsid w:val="00717932"/>
    <w:rsid w:val="0079679D"/>
    <w:rsid w:val="007B30B3"/>
    <w:rsid w:val="007E115B"/>
    <w:rsid w:val="007E656A"/>
    <w:rsid w:val="0081576D"/>
    <w:rsid w:val="0088055D"/>
    <w:rsid w:val="00880ED0"/>
    <w:rsid w:val="008945AD"/>
    <w:rsid w:val="008D2F08"/>
    <w:rsid w:val="00933B24"/>
    <w:rsid w:val="009A1C4D"/>
    <w:rsid w:val="00A420FC"/>
    <w:rsid w:val="00A71E53"/>
    <w:rsid w:val="00A953F9"/>
    <w:rsid w:val="00AC5AC3"/>
    <w:rsid w:val="00B01F92"/>
    <w:rsid w:val="00B11C3D"/>
    <w:rsid w:val="00B820C2"/>
    <w:rsid w:val="00BF375D"/>
    <w:rsid w:val="00C06268"/>
    <w:rsid w:val="00C11194"/>
    <w:rsid w:val="00C737A6"/>
    <w:rsid w:val="00CA5B4E"/>
    <w:rsid w:val="00CA7A43"/>
    <w:rsid w:val="00D045EF"/>
    <w:rsid w:val="00D7370A"/>
    <w:rsid w:val="00D82210"/>
    <w:rsid w:val="00DA24F5"/>
    <w:rsid w:val="00DE49E1"/>
    <w:rsid w:val="00E148A0"/>
    <w:rsid w:val="00EA60EA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3AF5"/>
  <w15:chartTrackingRefBased/>
  <w15:docId w15:val="{DCA5D21C-9159-469D-969B-4531B54B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C06268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C737A6"/>
    <w:pPr>
      <w:numPr>
        <w:ilvl w:val="1"/>
        <w:numId w:val="12"/>
      </w:numPr>
      <w:tabs>
        <w:tab w:val="clear" w:pos="340"/>
        <w:tab w:val="clear" w:pos="680"/>
      </w:tabs>
      <w:spacing w:after="0"/>
      <w:ind w:left="65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9924-2A9F-4232-BB55-45E44146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6</cp:revision>
  <cp:lastPrinted>2020-11-06T12:00:00Z</cp:lastPrinted>
  <dcterms:created xsi:type="dcterms:W3CDTF">2020-11-06T09:52:00Z</dcterms:created>
  <dcterms:modified xsi:type="dcterms:W3CDTF">2020-11-06T12:02:00Z</dcterms:modified>
</cp:coreProperties>
</file>