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463D" w14:textId="7EACE234" w:rsidR="00D533FC" w:rsidRPr="009A3AF6" w:rsidRDefault="009A3AF6" w:rsidP="00AE0040">
      <w:pPr>
        <w:pStyle w:val="11"/>
      </w:pPr>
      <w:r>
        <w:t>Η ελάχιστη κινητική ενέργεια</w:t>
      </w:r>
    </w:p>
    <w:p w14:paraId="1372521A" w14:textId="726EEC5A" w:rsidR="006C250F" w:rsidRDefault="00000000" w:rsidP="009A3AF6">
      <w:r>
        <w:rPr>
          <w:noProof/>
        </w:rPr>
        <w:object w:dxaOrig="1440" w:dyaOrig="1440" w14:anchorId="2FBEA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5.1pt;margin-top:6.7pt;width:156.8pt;height:59.25pt;z-index:251659264;mso-position-horizontal-relative:text;mso-position-vertical-relative:text;mso-width-relative:page;mso-height-relative:page" filled="t" fillcolor="#d5f4ff">
            <v:imagedata r:id="rId8" o:title=""/>
            <w10:wrap type="square"/>
          </v:shape>
          <o:OLEObject Type="Embed" ProgID="Visio.Drawing.11" ShapeID="_x0000_s1026" DrawAspect="Content" ObjectID="_1818507548" r:id="rId9"/>
        </w:object>
      </w:r>
      <w:r w:rsidR="006C250F">
        <w:t>Σε λείο οριζόντιο επίπεδο, κινούνται στην ίδια ευθεία, χωρίς να περιστρέφονται, δύο  σφαίρες Α και Β με ίσες ακτίνες και μάζες m και 3m, αντίστοιχα, οι οποίες κάποια στιγμή συγκρούονται κεντρικά και ελαστικά. Αν πριν την κρούση η Α σφαίρα έχει ταχύτητα μέτρου υ</w:t>
      </w:r>
      <w:r w:rsidR="006C250F">
        <w:rPr>
          <w:vertAlign w:val="subscript"/>
        </w:rPr>
        <w:t>1</w:t>
      </w:r>
      <w:r w:rsidR="006C250F">
        <w:t xml:space="preserve"> με φορά προς τα δεξιά.</w:t>
      </w:r>
    </w:p>
    <w:p w14:paraId="5C7F3B1F" w14:textId="47BCEC2A" w:rsidR="009A3AF6" w:rsidRDefault="009A3AF6" w:rsidP="009A3AF6">
      <w:pPr>
        <w:pStyle w:val="10"/>
      </w:pPr>
      <w:r>
        <w:t>Υποστηρίζεται η άποψη ότι η σφαίρα Α θα  επιβραδ</w:t>
      </w:r>
      <w:r w:rsidR="000D62B4">
        <w:t>υ</w:t>
      </w:r>
      <w:r>
        <w:t xml:space="preserve">νθεί, εξαιτίας </w:t>
      </w:r>
      <w:r w:rsidR="000D62B4">
        <w:t xml:space="preserve">της δύναμης που θα δεχτεί από την σφαίρα </w:t>
      </w:r>
      <w:r w:rsidR="00103B72">
        <w:t>Β</w:t>
      </w:r>
      <w:r w:rsidR="000D62B4">
        <w:t>, με αποτέλεσμα μετά την κρούση να έχει ταχύτητα με μέτρο μικρότερο από υ</w:t>
      </w:r>
      <w:r w:rsidR="000D62B4">
        <w:rPr>
          <w:vertAlign w:val="subscript"/>
        </w:rPr>
        <w:t>1</w:t>
      </w:r>
      <w:r w:rsidR="000D62B4">
        <w:t>. Να εξετάσετε αν αυτό είναι σωστό ή όχι.</w:t>
      </w:r>
    </w:p>
    <w:p w14:paraId="448DB5B6" w14:textId="2B2167E6" w:rsidR="000D62B4" w:rsidRDefault="009D1BB2" w:rsidP="009A3AF6">
      <w:pPr>
        <w:pStyle w:val="10"/>
      </w:pPr>
      <w:r>
        <w:t>Αν μετά την κρούση η σφαίρα Α έχει την ελάχιστη δυνατή κινητική ενέργεια, να βρεθεί η ταχύτητα της Β σφαίρας πριν την κρούση.</w:t>
      </w:r>
    </w:p>
    <w:p w14:paraId="5BAC3902" w14:textId="76D63C4A" w:rsidR="009D1BB2" w:rsidRDefault="009D1BB2" w:rsidP="009A3AF6">
      <w:pPr>
        <w:pStyle w:val="10"/>
      </w:pPr>
      <w:r>
        <w:t>Να υπολογιστεί το ποσοστό μεταβολής της κινητικής ενέργειας και</w:t>
      </w:r>
      <w:r w:rsidR="001624B9">
        <w:t xml:space="preserve"> το</w:t>
      </w:r>
      <w:r w:rsidR="00FF70BE">
        <w:t>υ</w:t>
      </w:r>
      <w:r w:rsidR="001624B9">
        <w:t xml:space="preserve"> μέτρου</w:t>
      </w:r>
      <w:r>
        <w:t xml:space="preserve"> της ορμής της σφαίρας Β, που οφείλεται στη κρούση.</w:t>
      </w:r>
    </w:p>
    <w:p w14:paraId="2A425A3D" w14:textId="35D58B2A" w:rsidR="009D1BB2" w:rsidRDefault="00000000" w:rsidP="009D1BB2">
      <w:pPr>
        <w:pStyle w:val="a9"/>
      </w:pPr>
      <w:r>
        <w:rPr>
          <w:noProof/>
        </w:rPr>
        <w:object w:dxaOrig="1440" w:dyaOrig="1440" w14:anchorId="33124100">
          <v:shape id="_x0000_s1027" type="#_x0000_t75" style="position:absolute;left:0;text-align:left;margin-left:339.25pt;margin-top:25.05pt;width:142.65pt;height:76pt;z-index:251661312;mso-position-horizontal-relative:text;mso-position-vertical-relative:text;mso-width-relative:page;mso-height-relative:page" filled="t" fillcolor="#d5f4ff">
            <v:imagedata r:id="rId10" o:title=""/>
            <w10:wrap type="square"/>
          </v:shape>
          <o:OLEObject Type="Embed" ProgID="Visio.Drawing.11" ShapeID="_x0000_s1027" DrawAspect="Content" ObjectID="_1818507549" r:id="rId11"/>
        </w:object>
      </w:r>
      <w:r w:rsidR="009D1BB2">
        <w:t>Απάντηση:</w:t>
      </w:r>
    </w:p>
    <w:p w14:paraId="371F4F87" w14:textId="7E043C34" w:rsidR="002A2A85" w:rsidRDefault="009A2A90" w:rsidP="009A2A90">
      <w:pPr>
        <w:pStyle w:val="i"/>
      </w:pPr>
      <w:r>
        <w:t>Στη διάρκεια της κρούσης, ασκούνται στις  δύο σφαίρες Α και Β οι δυνάμεις F</w:t>
      </w:r>
      <w:r>
        <w:rPr>
          <w:vertAlign w:val="subscript"/>
        </w:rPr>
        <w:t>1</w:t>
      </w:r>
      <w:r>
        <w:t xml:space="preserve"> και F</w:t>
      </w:r>
      <w:r>
        <w:rPr>
          <w:vertAlign w:val="subscript"/>
        </w:rPr>
        <w:t>2</w:t>
      </w:r>
      <w:r>
        <w:t xml:space="preserve"> αντίστοιχα, όπως στο διπλανό σχήμα. Εξαιτίας της δύναμης F</w:t>
      </w:r>
      <w:r>
        <w:rPr>
          <w:vertAlign w:val="subscript"/>
        </w:rPr>
        <w:t>1</w:t>
      </w:r>
      <w:r>
        <w:t xml:space="preserve"> η σφαίρα Α θα αποκτήσει επιτάχυνση προς τα αριστερά, συνεπώς πράγματι αρχικά επιβραδύνεται. Αλλά το αν μετά το πέρας της κρούσης θα έχει ταχύτητα προς τα δεξιά ή προς τα αριστερά και τι μέτρο θα έχει η ταχύτητα αυτή, δεν μπορούμε να το ξέρουμε, αφού δεν γνωρίζουμε την ταχύτητα της σφαίρας Β. Η πρόταση δεν είναι σωστή.</w:t>
      </w:r>
    </w:p>
    <w:p w14:paraId="2909AF25" w14:textId="1B8DC993" w:rsidR="009368FC" w:rsidRDefault="00FC39C8" w:rsidP="009A2A90">
      <w:pPr>
        <w:pStyle w:val="i"/>
      </w:pPr>
      <w:r>
        <w:t>Η ελάχιστη κινητική ενέργεια που μπορεί να έχει η Α σφαίρα είναι η μηδενική στην περίπτωση που μηδενίζεται η ταχύτητά της και τελικά παραμένει ακίνητη.</w:t>
      </w:r>
      <w:r w:rsidR="008036FF">
        <w:t xml:space="preserve"> Θεωρώντας την προς τα δεξιά κατεύθυνση ως θετική, θα έχουμε για τις ταχύτητες των δύο σφαιρών μετά την κεντρική και ελαστική μεταξύ τους κρούση:</w:t>
      </w:r>
    </w:p>
    <w:p w14:paraId="69055F88" w14:textId="449FC407" w:rsidR="008036FF" w:rsidRDefault="00B25F6F" w:rsidP="00B25F6F">
      <w:pPr>
        <w:jc w:val="center"/>
      </w:pPr>
      <w:r w:rsidRPr="00B25F6F">
        <w:rPr>
          <w:position w:val="-30"/>
        </w:rPr>
        <w:object w:dxaOrig="2720" w:dyaOrig="680" w14:anchorId="6432FDB6">
          <v:shape id="_x0000_i1027" type="#_x0000_t75" style="width:135.6pt;height:33.6pt" o:ole="">
            <v:imagedata r:id="rId12" o:title=""/>
          </v:shape>
          <o:OLEObject Type="Embed" ProgID="Equation.DSMT4" ShapeID="_x0000_i1027" DrawAspect="Content" ObjectID="_1818507538" r:id="rId13"/>
        </w:object>
      </w:r>
      <w:r>
        <w:t xml:space="preserve">  (1)</w:t>
      </w:r>
    </w:p>
    <w:p w14:paraId="0D26665D" w14:textId="33399F44" w:rsidR="00B25F6F" w:rsidRPr="004B187E" w:rsidRDefault="00B25F6F" w:rsidP="00B25F6F">
      <w:pPr>
        <w:jc w:val="center"/>
      </w:pPr>
      <w:r w:rsidRPr="00B25F6F">
        <w:rPr>
          <w:position w:val="-30"/>
        </w:rPr>
        <w:object w:dxaOrig="2760" w:dyaOrig="680" w14:anchorId="70AC64F8">
          <v:shape id="_x0000_i1028" type="#_x0000_t75" style="width:138pt;height:33.6pt" o:ole="">
            <v:imagedata r:id="rId14" o:title=""/>
          </v:shape>
          <o:OLEObject Type="Embed" ProgID="Equation.DSMT4" ShapeID="_x0000_i1028" DrawAspect="Content" ObjectID="_1818507539" r:id="rId15"/>
        </w:object>
      </w:r>
      <w:r w:rsidRPr="004B187E">
        <w:t xml:space="preserve">  (2)</w:t>
      </w:r>
    </w:p>
    <w:p w14:paraId="0ED305E6" w14:textId="5F901590" w:rsidR="00B25F6F" w:rsidRDefault="00752359" w:rsidP="00752359">
      <w:pPr>
        <w:ind w:left="340"/>
      </w:pPr>
      <w:r>
        <w:t xml:space="preserve">Από την εξίσωση (1) θέτοντας </w:t>
      </w:r>
      <w:r w:rsidR="004B187E" w:rsidRPr="004B187E">
        <w:rPr>
          <w:position w:val="-12"/>
        </w:rPr>
        <w:object w:dxaOrig="639" w:dyaOrig="360" w14:anchorId="5AA91C33">
          <v:shape id="_x0000_i1029" type="#_x0000_t75" style="width:31.8pt;height:18pt" o:ole="">
            <v:imagedata r:id="rId16" o:title=""/>
          </v:shape>
          <o:OLEObject Type="Embed" ProgID="Equation.DSMT4" ShapeID="_x0000_i1029" DrawAspect="Content" ObjectID="_1818507540" r:id="rId17"/>
        </w:object>
      </w:r>
      <w:r>
        <w:t xml:space="preserve"> παίρνουμε:</w:t>
      </w:r>
    </w:p>
    <w:p w14:paraId="2E2A4D6B" w14:textId="1CA25425" w:rsidR="00752359" w:rsidRDefault="00C87E0F" w:rsidP="00C87E0F">
      <w:pPr>
        <w:ind w:left="340"/>
        <w:jc w:val="center"/>
      </w:pPr>
      <w:r w:rsidRPr="00752359">
        <w:rPr>
          <w:position w:val="-24"/>
        </w:rPr>
        <w:object w:dxaOrig="5319" w:dyaOrig="620" w14:anchorId="0F0A583B">
          <v:shape id="_x0000_i1030" type="#_x0000_t75" style="width:266.4pt;height:31.2pt" o:ole="">
            <v:imagedata r:id="rId18" o:title=""/>
          </v:shape>
          <o:OLEObject Type="Embed" ProgID="Equation.DSMT4" ShapeID="_x0000_i1030" DrawAspect="Content" ObjectID="_1818507541" r:id="rId19"/>
        </w:object>
      </w:r>
    </w:p>
    <w:p w14:paraId="27AD09D4" w14:textId="45352E9E" w:rsidR="00C87E0F" w:rsidRDefault="00C87E0F" w:rsidP="00C87E0F">
      <w:pPr>
        <w:ind w:left="340"/>
      </w:pPr>
      <w:r>
        <w:t>Δηλαδή, πριν την κρούση και η  σφαίρα Β είχε ταχύτητα προς τα δεξιά</w:t>
      </w:r>
      <w:r w:rsidR="0081767A">
        <w:t>, όπως και η Α σφαίρα.</w:t>
      </w:r>
    </w:p>
    <w:p w14:paraId="4CC639BB" w14:textId="7C35B040" w:rsidR="0081767A" w:rsidRDefault="0081767A" w:rsidP="0081767A">
      <w:pPr>
        <w:pStyle w:val="i"/>
      </w:pPr>
      <w:r>
        <w:t>Αντικαθιστώντας  τώρα στην εξίσωση (2) βρίσκουμε την ταχύτητα της Β σφαίρας μετά την κρούση:</w:t>
      </w:r>
    </w:p>
    <w:p w14:paraId="462A7B02" w14:textId="78B67B89" w:rsidR="0081767A" w:rsidRDefault="00B16AD9" w:rsidP="00B16AD9">
      <w:pPr>
        <w:jc w:val="center"/>
        <w:rPr>
          <w:lang w:val="en-GB"/>
        </w:rPr>
      </w:pPr>
      <w:r w:rsidRPr="00B25F6F">
        <w:rPr>
          <w:position w:val="-30"/>
        </w:rPr>
        <w:object w:dxaOrig="6800" w:dyaOrig="680" w14:anchorId="39BF71B8">
          <v:shape id="_x0000_i1031" type="#_x0000_t75" style="width:340.2pt;height:33.6pt" o:ole="">
            <v:imagedata r:id="rId20" o:title=""/>
          </v:shape>
          <o:OLEObject Type="Embed" ProgID="Equation.DSMT4" ShapeID="_x0000_i1031" DrawAspect="Content" ObjectID="_1818507542" r:id="rId21"/>
        </w:object>
      </w:r>
    </w:p>
    <w:p w14:paraId="741181C4" w14:textId="779BAEC5" w:rsidR="000D5A1A" w:rsidRDefault="000D5A1A" w:rsidP="001D2E78">
      <w:pPr>
        <w:ind w:left="340"/>
      </w:pPr>
      <w:r>
        <w:t>Βλέπουμε δηλαδή η σφαίρα Β να έχει διπλασιάσει την ταχύτητά της, πράγμα που αντίστοιχα προκαλεί αύξηση της κινητικής της ενέργειας. Αλλά και αύξηση του μέτρου της ορμής της. Έτσι για τις ζητούμενες μεταβολές θα έχουμε:</w:t>
      </w:r>
    </w:p>
    <w:p w14:paraId="0BE509C5" w14:textId="2A8CA96A" w:rsidR="000D5A1A" w:rsidRDefault="00000000" w:rsidP="005B5E18">
      <w:pPr>
        <w:ind w:left="340"/>
        <w:jc w:val="center"/>
      </w:pPr>
      <w:r>
        <w:rPr>
          <w:noProof/>
        </w:rPr>
        <w:object w:dxaOrig="1440" w:dyaOrig="1440" w14:anchorId="3F97D5D3">
          <v:shape id="_x0000_s1028" type="#_x0000_t75" style="position:absolute;left:0;text-align:left;margin-left:412.75pt;margin-top:39.7pt;width:69.2pt;height:40.25pt;z-index:251663360;mso-position-horizontal-relative:text;mso-position-vertical-relative:text;mso-width-relative:page;mso-height-relative:page" filled="t" fillcolor="#d5f4ff">
            <v:imagedata r:id="rId22" o:title=""/>
            <w10:wrap type="square"/>
          </v:shape>
          <o:OLEObject Type="Embed" ProgID="Visio.Drawing.11" ShapeID="_x0000_s1028" DrawAspect="Content" ObjectID="_1818507550" r:id="rId23"/>
        </w:object>
      </w:r>
      <w:r w:rsidR="005B5E18" w:rsidRPr="005B5E18">
        <w:rPr>
          <w:position w:val="-32"/>
        </w:rPr>
        <w:object w:dxaOrig="7260" w:dyaOrig="760" w14:anchorId="6DDE7DC9">
          <v:shape id="_x0000_i1033" type="#_x0000_t75" style="width:363.6pt;height:38.4pt" o:ole="">
            <v:imagedata r:id="rId24" o:title=""/>
          </v:shape>
          <o:OLEObject Type="Embed" ProgID="Equation.DSMT4" ShapeID="_x0000_i1033" DrawAspect="Content" ObjectID="_1818507543" r:id="rId25"/>
        </w:object>
      </w:r>
    </w:p>
    <w:p w14:paraId="22CBA76A" w14:textId="73C2F00D" w:rsidR="005B5E18" w:rsidRDefault="001624B9" w:rsidP="005B5E18">
      <w:pPr>
        <w:ind w:left="340"/>
        <w:jc w:val="center"/>
      </w:pPr>
      <w:r w:rsidRPr="001624B9">
        <w:rPr>
          <w:position w:val="-58"/>
        </w:rPr>
        <w:object w:dxaOrig="6120" w:dyaOrig="1280" w14:anchorId="6E6D63AE">
          <v:shape id="_x0000_i1041" type="#_x0000_t75" style="width:306pt;height:64.2pt" o:ole="">
            <v:imagedata r:id="rId26" o:title=""/>
          </v:shape>
          <o:OLEObject Type="Embed" ProgID="Equation.DSMT4" ShapeID="_x0000_i1041" DrawAspect="Content" ObjectID="_1818507544" r:id="rId27"/>
        </w:object>
      </w:r>
    </w:p>
    <w:p w14:paraId="492ADDE9" w14:textId="4453309E" w:rsidR="0077395B" w:rsidRDefault="0077395B" w:rsidP="0077395B">
      <w:pPr>
        <w:ind w:left="340"/>
      </w:pPr>
      <w:r>
        <w:t>Και τα αντίστοιχα ποσοστά:</w:t>
      </w:r>
    </w:p>
    <w:p w14:paraId="42091DA3" w14:textId="2604DC84" w:rsidR="0077395B" w:rsidRDefault="00466E0B" w:rsidP="00466E0B">
      <w:pPr>
        <w:ind w:left="340"/>
        <w:jc w:val="center"/>
      </w:pPr>
      <w:r w:rsidRPr="00466E0B">
        <w:rPr>
          <w:position w:val="-56"/>
        </w:rPr>
        <w:object w:dxaOrig="4300" w:dyaOrig="1219" w14:anchorId="7AD9D7CC">
          <v:shape id="_x0000_i1035" type="#_x0000_t75" style="width:214.8pt;height:61.2pt" o:ole="">
            <v:imagedata r:id="rId28" o:title=""/>
          </v:shape>
          <o:OLEObject Type="Embed" ProgID="Equation.DSMT4" ShapeID="_x0000_i1035" DrawAspect="Content" ObjectID="_1818507545" r:id="rId29"/>
        </w:object>
      </w:r>
      <w:r w:rsidR="009350BC" w:rsidRPr="00FF70BE">
        <w:t xml:space="preserve"> </w:t>
      </w:r>
      <w:r w:rsidR="009350BC">
        <w:t>και</w:t>
      </w:r>
    </w:p>
    <w:p w14:paraId="61200250" w14:textId="718B5E53" w:rsidR="009350BC" w:rsidRDefault="001624B9" w:rsidP="00466E0B">
      <w:pPr>
        <w:ind w:left="340"/>
        <w:jc w:val="center"/>
        <w:rPr>
          <w:lang w:val="en-GB"/>
        </w:rPr>
      </w:pPr>
      <w:r w:rsidRPr="009350BC">
        <w:rPr>
          <w:position w:val="-54"/>
        </w:rPr>
        <w:object w:dxaOrig="3960" w:dyaOrig="1200" w14:anchorId="0AC3C303">
          <v:shape id="_x0000_i1039" type="#_x0000_t75" style="width:198.6pt;height:60pt" o:ole="">
            <v:imagedata r:id="rId30" o:title=""/>
          </v:shape>
          <o:OLEObject Type="Embed" ProgID="Equation.DSMT4" ShapeID="_x0000_i1039" DrawAspect="Content" ObjectID="_1818507546" r:id="rId31"/>
        </w:object>
      </w:r>
    </w:p>
    <w:p w14:paraId="04975309" w14:textId="1E945A93" w:rsidR="00B510BE" w:rsidRDefault="00B510BE" w:rsidP="00B510BE">
      <w:pPr>
        <w:pStyle w:val="a9"/>
        <w:rPr>
          <w:color w:val="EE0000"/>
        </w:rPr>
      </w:pPr>
      <w:r w:rsidRPr="00B510BE">
        <w:rPr>
          <w:color w:val="EE0000"/>
        </w:rPr>
        <w:t>Σχόλιο:</w:t>
      </w:r>
    </w:p>
    <w:p w14:paraId="4FD5C892" w14:textId="1D1B2D11" w:rsidR="00B510BE" w:rsidRDefault="00B510BE" w:rsidP="00B510BE">
      <w:pPr>
        <w:rPr>
          <w:lang w:eastAsia="zh-CN"/>
        </w:rPr>
      </w:pPr>
      <w:r>
        <w:rPr>
          <w:lang w:eastAsia="zh-CN"/>
        </w:rPr>
        <w:t>Εναλλακτικά κάποιος θα μπορούσε να στηριχθεί στην ΑΔΟ και στην διατήρηση της κινητικής ενέργειας και να πει ότι η κινητική ενέργεια και η ορμή της Β σφαίρας, μετά την κρούση θα είναι:</w:t>
      </w:r>
    </w:p>
    <w:p w14:paraId="34D79F75" w14:textId="62BDC1D4" w:rsidR="00B510BE" w:rsidRDefault="00587D54" w:rsidP="00B510BE">
      <w:pPr>
        <w:jc w:val="center"/>
        <w:rPr>
          <w:lang w:val="en-GB"/>
        </w:rPr>
      </w:pPr>
      <w:r w:rsidRPr="00587D54">
        <w:rPr>
          <w:position w:val="-30"/>
        </w:rPr>
        <w:object w:dxaOrig="3320" w:dyaOrig="720" w14:anchorId="5C8C5AF0">
          <v:shape id="_x0000_i1037" type="#_x0000_t75" style="width:165.6pt;height:36pt" o:ole="">
            <v:imagedata r:id="rId32" o:title=""/>
          </v:shape>
          <o:OLEObject Type="Embed" ProgID="Equation.DSMT4" ShapeID="_x0000_i1037" DrawAspect="Content" ObjectID="_1818507547" r:id="rId33"/>
        </w:object>
      </w:r>
    </w:p>
    <w:p w14:paraId="3506A079" w14:textId="362C06B6" w:rsidR="00B510BE" w:rsidRPr="002A0EAE" w:rsidRDefault="00B510BE" w:rsidP="00B510BE">
      <w:pPr>
        <w:rPr>
          <w:lang w:eastAsia="zh-CN"/>
        </w:rPr>
      </w:pPr>
      <w:r>
        <w:t>Αφού η Α σφαίρα παραμένει ακίνητη μετά την κρούση</w:t>
      </w:r>
      <w:r w:rsidR="002A0EAE" w:rsidRPr="002A0EAE">
        <w:t xml:space="preserve">, </w:t>
      </w:r>
      <w:r w:rsidR="002A0EAE">
        <w:t>με αποτέλεσμα η αύξηση της κινητικής ενέργειας της σφαίρας Β να οφείλεται στην κινητική ενέργεια της σφαίρας Α, αλλά το ίδιο να συμβαίνει και στην</w:t>
      </w:r>
      <w:r w:rsidR="004B187E">
        <w:t xml:space="preserve"> μεταβολή της ορμής της.</w:t>
      </w:r>
    </w:p>
    <w:p w14:paraId="32947547" w14:textId="24738C4B" w:rsidR="006E74F3" w:rsidRPr="00B510BE" w:rsidRDefault="006E74F3" w:rsidP="006E74F3">
      <w:pPr>
        <w:pStyle w:val="a9"/>
        <w:jc w:val="right"/>
      </w:pPr>
      <w:r>
        <w:rPr>
          <w:lang w:val="en-GB"/>
        </w:rPr>
        <w:t>dmargaris</w:t>
      </w:r>
      <w:r w:rsidRPr="00B510BE">
        <w:t>@</w:t>
      </w:r>
      <w:r>
        <w:rPr>
          <w:lang w:val="en-GB"/>
        </w:rPr>
        <w:t>gmail</w:t>
      </w:r>
      <w:r w:rsidRPr="00B510BE">
        <w:t>.</w:t>
      </w:r>
      <w:r>
        <w:rPr>
          <w:lang w:val="en-GB"/>
        </w:rPr>
        <w:t>com</w:t>
      </w:r>
    </w:p>
    <w:sectPr w:rsidR="006E74F3" w:rsidRPr="00B510BE">
      <w:headerReference w:type="default" r:id="rId34"/>
      <w:footerReference w:type="default" r:id="rId3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8F20" w14:textId="77777777" w:rsidR="001D2B72" w:rsidRDefault="001D2B72">
      <w:pPr>
        <w:spacing w:line="240" w:lineRule="auto"/>
      </w:pPr>
      <w:r>
        <w:separator/>
      </w:r>
    </w:p>
  </w:endnote>
  <w:endnote w:type="continuationSeparator" w:id="0">
    <w:p w14:paraId="4CE116F1" w14:textId="77777777" w:rsidR="001D2B72" w:rsidRDefault="001D2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DCAD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6AEC8F3E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104038C9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C0533" w14:textId="77777777" w:rsidR="001D2B72" w:rsidRDefault="001D2B72">
      <w:pPr>
        <w:spacing w:after="0"/>
      </w:pPr>
      <w:r>
        <w:separator/>
      </w:r>
    </w:p>
  </w:footnote>
  <w:footnote w:type="continuationSeparator" w:id="0">
    <w:p w14:paraId="1130768E" w14:textId="77777777" w:rsidR="001D2B72" w:rsidRDefault="001D2B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FB06" w14:textId="75FA7140" w:rsidR="00D533FC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9A3AF6">
      <w:rPr>
        <w:i/>
      </w:rPr>
      <w:t>Κρούσεις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061"/>
    <w:multiLevelType w:val="singleLevel"/>
    <w:tmpl w:val="CFE2925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8525359"/>
    <w:multiLevelType w:val="singleLevel"/>
    <w:tmpl w:val="8FFC49AC"/>
    <w:name w:val="Bullet 13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1FB"/>
    <w:multiLevelType w:val="singleLevel"/>
    <w:tmpl w:val="A354610A"/>
    <w:name w:val="Bullet 11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 w15:restartNumberingAfterBreak="0">
    <w:nsid w:val="495C24B4"/>
    <w:multiLevelType w:val="multilevel"/>
    <w:tmpl w:val="977AC98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E4D2A2A"/>
    <w:multiLevelType w:val="multilevel"/>
    <w:tmpl w:val="6ED44F1A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8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312225212">
    <w:abstractNumId w:val="5"/>
  </w:num>
  <w:num w:numId="2" w16cid:durableId="1975021802">
    <w:abstractNumId w:val="6"/>
  </w:num>
  <w:num w:numId="3" w16cid:durableId="264309753">
    <w:abstractNumId w:val="3"/>
  </w:num>
  <w:num w:numId="4" w16cid:durableId="906958154">
    <w:abstractNumId w:val="2"/>
  </w:num>
  <w:num w:numId="5" w16cid:durableId="847408854">
    <w:abstractNumId w:val="7"/>
  </w:num>
  <w:num w:numId="6" w16cid:durableId="445151668">
    <w:abstractNumId w:val="0"/>
  </w:num>
  <w:num w:numId="7" w16cid:durableId="1261334555">
    <w:abstractNumId w:val="4"/>
  </w:num>
  <w:num w:numId="8" w16cid:durableId="1946422978">
    <w:abstractNumId w:val="8"/>
  </w:num>
  <w:num w:numId="9" w16cid:durableId="45379742">
    <w:abstractNumId w:val="1"/>
  </w:num>
  <w:num w:numId="10" w16cid:durableId="939987909">
    <w:abstractNumId w:val="6"/>
  </w:num>
  <w:num w:numId="11" w16cid:durableId="807358910">
    <w:abstractNumId w:val="6"/>
  </w:num>
  <w:num w:numId="12" w16cid:durableId="1029524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F6"/>
    <w:rsid w:val="00023972"/>
    <w:rsid w:val="00026D66"/>
    <w:rsid w:val="00036472"/>
    <w:rsid w:val="00043134"/>
    <w:rsid w:val="00053396"/>
    <w:rsid w:val="00060EF4"/>
    <w:rsid w:val="000679A2"/>
    <w:rsid w:val="000912E3"/>
    <w:rsid w:val="00091E43"/>
    <w:rsid w:val="000A5A2D"/>
    <w:rsid w:val="000B48D3"/>
    <w:rsid w:val="000B77C7"/>
    <w:rsid w:val="000B7E68"/>
    <w:rsid w:val="000C397A"/>
    <w:rsid w:val="000D5A1A"/>
    <w:rsid w:val="000D62B4"/>
    <w:rsid w:val="000D78E0"/>
    <w:rsid w:val="00103B72"/>
    <w:rsid w:val="0012203A"/>
    <w:rsid w:val="00157DCF"/>
    <w:rsid w:val="001624B9"/>
    <w:rsid w:val="001664A5"/>
    <w:rsid w:val="001764F7"/>
    <w:rsid w:val="00191C12"/>
    <w:rsid w:val="00194ED4"/>
    <w:rsid w:val="001B25B2"/>
    <w:rsid w:val="001B45D6"/>
    <w:rsid w:val="001C5136"/>
    <w:rsid w:val="001D2B72"/>
    <w:rsid w:val="001D2E78"/>
    <w:rsid w:val="00224D9E"/>
    <w:rsid w:val="00296F90"/>
    <w:rsid w:val="002A0EAE"/>
    <w:rsid w:val="002A2A85"/>
    <w:rsid w:val="002C4684"/>
    <w:rsid w:val="002D7F84"/>
    <w:rsid w:val="002F481E"/>
    <w:rsid w:val="003034D4"/>
    <w:rsid w:val="003048E4"/>
    <w:rsid w:val="003272C2"/>
    <w:rsid w:val="00334BD8"/>
    <w:rsid w:val="00335460"/>
    <w:rsid w:val="00342B66"/>
    <w:rsid w:val="003623AB"/>
    <w:rsid w:val="00371533"/>
    <w:rsid w:val="00380A91"/>
    <w:rsid w:val="0039013D"/>
    <w:rsid w:val="003959A8"/>
    <w:rsid w:val="003A6C4E"/>
    <w:rsid w:val="003A77A4"/>
    <w:rsid w:val="003B1E98"/>
    <w:rsid w:val="003B32B0"/>
    <w:rsid w:val="003B4900"/>
    <w:rsid w:val="003D2058"/>
    <w:rsid w:val="003E1678"/>
    <w:rsid w:val="003E53D7"/>
    <w:rsid w:val="0041128B"/>
    <w:rsid w:val="0041752B"/>
    <w:rsid w:val="00430289"/>
    <w:rsid w:val="00434B8A"/>
    <w:rsid w:val="0044454D"/>
    <w:rsid w:val="00465544"/>
    <w:rsid w:val="00465D8E"/>
    <w:rsid w:val="00466E0B"/>
    <w:rsid w:val="00470A0F"/>
    <w:rsid w:val="0047288B"/>
    <w:rsid w:val="00480ADE"/>
    <w:rsid w:val="00485825"/>
    <w:rsid w:val="004A0423"/>
    <w:rsid w:val="004B187E"/>
    <w:rsid w:val="004B1BA7"/>
    <w:rsid w:val="004C0760"/>
    <w:rsid w:val="004D5608"/>
    <w:rsid w:val="004F7518"/>
    <w:rsid w:val="00503A3E"/>
    <w:rsid w:val="0050788A"/>
    <w:rsid w:val="00555184"/>
    <w:rsid w:val="00555BC9"/>
    <w:rsid w:val="0055699C"/>
    <w:rsid w:val="00572886"/>
    <w:rsid w:val="00585132"/>
    <w:rsid w:val="00587D54"/>
    <w:rsid w:val="005B5E18"/>
    <w:rsid w:val="005B728E"/>
    <w:rsid w:val="005C059F"/>
    <w:rsid w:val="005F0D9F"/>
    <w:rsid w:val="00634A9B"/>
    <w:rsid w:val="00640D17"/>
    <w:rsid w:val="0064303C"/>
    <w:rsid w:val="00667E23"/>
    <w:rsid w:val="00687B49"/>
    <w:rsid w:val="006A7FA9"/>
    <w:rsid w:val="006B0BFD"/>
    <w:rsid w:val="006B2BCA"/>
    <w:rsid w:val="006C0E68"/>
    <w:rsid w:val="006C250F"/>
    <w:rsid w:val="006C3491"/>
    <w:rsid w:val="006E4ABE"/>
    <w:rsid w:val="006E6A87"/>
    <w:rsid w:val="006E74F3"/>
    <w:rsid w:val="006F5F92"/>
    <w:rsid w:val="00717932"/>
    <w:rsid w:val="00736498"/>
    <w:rsid w:val="00744C3F"/>
    <w:rsid w:val="00752359"/>
    <w:rsid w:val="00757BF7"/>
    <w:rsid w:val="0077395B"/>
    <w:rsid w:val="00774F6B"/>
    <w:rsid w:val="007B35C2"/>
    <w:rsid w:val="007B36AF"/>
    <w:rsid w:val="007B4E4A"/>
    <w:rsid w:val="007D112E"/>
    <w:rsid w:val="007D7637"/>
    <w:rsid w:val="007E115B"/>
    <w:rsid w:val="007F4EE5"/>
    <w:rsid w:val="008036FF"/>
    <w:rsid w:val="00814FD8"/>
    <w:rsid w:val="0081576D"/>
    <w:rsid w:val="0081767A"/>
    <w:rsid w:val="00844E46"/>
    <w:rsid w:val="00873F39"/>
    <w:rsid w:val="0087491C"/>
    <w:rsid w:val="008945AD"/>
    <w:rsid w:val="00897257"/>
    <w:rsid w:val="008E6534"/>
    <w:rsid w:val="008F3C3C"/>
    <w:rsid w:val="008F70FE"/>
    <w:rsid w:val="00923AB1"/>
    <w:rsid w:val="009350BC"/>
    <w:rsid w:val="009368FC"/>
    <w:rsid w:val="009675D3"/>
    <w:rsid w:val="009A1C4D"/>
    <w:rsid w:val="009A2A90"/>
    <w:rsid w:val="009A3AF6"/>
    <w:rsid w:val="009B3F35"/>
    <w:rsid w:val="009C0E68"/>
    <w:rsid w:val="009D1BB2"/>
    <w:rsid w:val="009F3EB0"/>
    <w:rsid w:val="009F636C"/>
    <w:rsid w:val="00A15C87"/>
    <w:rsid w:val="00A54F11"/>
    <w:rsid w:val="00A63C35"/>
    <w:rsid w:val="00AA662C"/>
    <w:rsid w:val="00AB4935"/>
    <w:rsid w:val="00AC5AC3"/>
    <w:rsid w:val="00AE0040"/>
    <w:rsid w:val="00B11C3D"/>
    <w:rsid w:val="00B16AD9"/>
    <w:rsid w:val="00B25F6F"/>
    <w:rsid w:val="00B32221"/>
    <w:rsid w:val="00B344E9"/>
    <w:rsid w:val="00B368DC"/>
    <w:rsid w:val="00B43F62"/>
    <w:rsid w:val="00B510BE"/>
    <w:rsid w:val="00B6619A"/>
    <w:rsid w:val="00B81A9F"/>
    <w:rsid w:val="00B820C2"/>
    <w:rsid w:val="00BB3001"/>
    <w:rsid w:val="00C87E0F"/>
    <w:rsid w:val="00CA4C94"/>
    <w:rsid w:val="00CA7A43"/>
    <w:rsid w:val="00D045EF"/>
    <w:rsid w:val="00D464AF"/>
    <w:rsid w:val="00D50B27"/>
    <w:rsid w:val="00D533FC"/>
    <w:rsid w:val="00D63D0F"/>
    <w:rsid w:val="00D82210"/>
    <w:rsid w:val="00D97305"/>
    <w:rsid w:val="00DA0155"/>
    <w:rsid w:val="00DA1226"/>
    <w:rsid w:val="00DB03A5"/>
    <w:rsid w:val="00DB77D1"/>
    <w:rsid w:val="00DC3154"/>
    <w:rsid w:val="00DE1D3D"/>
    <w:rsid w:val="00DE49E1"/>
    <w:rsid w:val="00DF4F17"/>
    <w:rsid w:val="00E210D0"/>
    <w:rsid w:val="00E37CC9"/>
    <w:rsid w:val="00E75D86"/>
    <w:rsid w:val="00EA64C4"/>
    <w:rsid w:val="00EB2362"/>
    <w:rsid w:val="00EB6640"/>
    <w:rsid w:val="00EC58B1"/>
    <w:rsid w:val="00EC647B"/>
    <w:rsid w:val="00EE1786"/>
    <w:rsid w:val="00EE7957"/>
    <w:rsid w:val="00F365D8"/>
    <w:rsid w:val="00F57374"/>
    <w:rsid w:val="00F6515A"/>
    <w:rsid w:val="00F66882"/>
    <w:rsid w:val="00F6705E"/>
    <w:rsid w:val="00F71F26"/>
    <w:rsid w:val="00F73155"/>
    <w:rsid w:val="00F921B4"/>
    <w:rsid w:val="00F948EA"/>
    <w:rsid w:val="00FA0CD8"/>
    <w:rsid w:val="00FA6CE6"/>
    <w:rsid w:val="00FA7D40"/>
    <w:rsid w:val="00FB67CF"/>
    <w:rsid w:val="00FB6B94"/>
    <w:rsid w:val="00FC39C8"/>
    <w:rsid w:val="00FD54FF"/>
    <w:rsid w:val="00FF70BE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B15367"/>
  <w15:docId w15:val="{EA772690-FB5D-48C3-9B76-9D2D4CDF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6B2BCA"/>
    <w:pPr>
      <w:keepNext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rsid w:val="003B32B0"/>
    <w:pPr>
      <w:numPr>
        <w:ilvl w:val="1"/>
        <w:numId w:val="12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pPr>
      <w:ind w:left="568" w:hanging="284"/>
    </w:pPr>
  </w:style>
  <w:style w:type="character" w:customStyle="1" w:styleId="1Char">
    <w:name w:val="Επικεφαλίδα 1 Char"/>
    <w:basedOn w:val="a2"/>
    <w:link w:val="11"/>
    <w:qFormat/>
    <w:rsid w:val="006B2BCA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rsid w:val="005F0D9F"/>
    <w:pPr>
      <w:numPr>
        <w:numId w:val="11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296F9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ac">
    <w:name w:val="List Paragraph"/>
    <w:basedOn w:val="a1"/>
    <w:uiPriority w:val="34"/>
    <w:qFormat/>
    <w:rsid w:val="004C0760"/>
    <w:pPr>
      <w:ind w:left="680" w:hanging="340"/>
      <w:contextualSpacing/>
    </w:pPr>
  </w:style>
  <w:style w:type="paragraph" w:customStyle="1" w:styleId="ad">
    <w:name w:val="κανονικό"/>
    <w:basedOn w:val="a1"/>
    <w:link w:val="Char3"/>
    <w:qFormat/>
    <w:rsid w:val="002A2A85"/>
    <w:rPr>
      <w:lang w:eastAsia="zh-CN"/>
    </w:rPr>
  </w:style>
  <w:style w:type="character" w:customStyle="1" w:styleId="Char3">
    <w:name w:val="κανονικό Char"/>
    <w:basedOn w:val="a2"/>
    <w:link w:val="ad"/>
    <w:rsid w:val="002A2A85"/>
    <w:rPr>
      <w:rFonts w:ascii="Times New Roman" w:hAnsi="Times New Roman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Documents\&#928;&#961;&#959;&#963;&#945;&#961;&#956;&#959;&#963;&#956;&#941;&#957;&#945;%20&#960;&#961;&#972;&#964;&#965;&#960;&#945;%20&#964;&#959;&#965;%20Office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2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Margaris</dc:creator>
  <cp:keywords/>
  <dc:description/>
  <cp:lastModifiedBy>Dionisis Margaris</cp:lastModifiedBy>
  <cp:revision>3</cp:revision>
  <cp:lastPrinted>2025-09-04T13:11:00Z</cp:lastPrinted>
  <dcterms:created xsi:type="dcterms:W3CDTF">2025-09-04T13:11:00Z</dcterms:created>
  <dcterms:modified xsi:type="dcterms:W3CDTF">2025-09-04T13:12:00Z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